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4C0355" w:rsidRPr="000F327C" w14:paraId="4E536A0D" w14:textId="77777777" w:rsidTr="005311EF">
        <w:tblPrEx>
          <w:tblCellMar>
            <w:top w:w="0" w:type="dxa"/>
            <w:bottom w:w="0" w:type="dxa"/>
          </w:tblCellMar>
        </w:tblPrEx>
        <w:trPr>
          <w:cantSplit/>
        </w:trPr>
        <w:tc>
          <w:tcPr>
            <w:tcW w:w="8122" w:type="dxa"/>
            <w:shd w:val="clear" w:color="auto" w:fill="1D73D6"/>
          </w:tcPr>
          <w:p w14:paraId="512C3981" w14:textId="77777777" w:rsidR="004C0355" w:rsidRPr="000F327C" w:rsidRDefault="004E37BC">
            <w:pPr>
              <w:pStyle w:val="cTOCHead"/>
            </w:pPr>
            <w:r w:rsidRPr="000F327C">
              <w:t xml:space="preserve">section ii - </w:t>
            </w:r>
            <w:r w:rsidR="004C0355" w:rsidRPr="000F327C">
              <w:t>HYPERALIMENTATION</w:t>
            </w:r>
          </w:p>
          <w:p w14:paraId="28A6EB59" w14:textId="77777777" w:rsidR="004C0355" w:rsidRPr="000F327C" w:rsidRDefault="004C0355">
            <w:pPr>
              <w:pStyle w:val="cTOCHead"/>
            </w:pPr>
            <w:r w:rsidRPr="000F327C">
              <w:t>Contents</w:t>
            </w:r>
          </w:p>
        </w:tc>
        <w:tc>
          <w:tcPr>
            <w:tcW w:w="1238" w:type="dxa"/>
            <w:shd w:val="clear" w:color="auto" w:fill="1D73D6"/>
            <w:vAlign w:val="center"/>
          </w:tcPr>
          <w:p w14:paraId="269F74E0" w14:textId="77777777" w:rsidR="004C0355" w:rsidRPr="000F327C" w:rsidRDefault="004C0355" w:rsidP="004E37BC">
            <w:pPr>
              <w:pStyle w:val="cDate1"/>
            </w:pPr>
          </w:p>
        </w:tc>
      </w:tr>
    </w:tbl>
    <w:bookmarkStart w:id="0" w:name="_Hlk199229762"/>
    <w:p w14:paraId="7889859B" w14:textId="558A439D" w:rsidR="000F327C" w:rsidRDefault="004C0355">
      <w:pPr>
        <w:pStyle w:val="TOC1"/>
        <w:rPr>
          <w:rFonts w:asciiTheme="minorHAnsi" w:eastAsiaTheme="minorEastAsia" w:hAnsiTheme="minorHAnsi" w:cstheme="minorBidi"/>
          <w:b w:val="0"/>
          <w:caps w:val="0"/>
          <w:color w:val="auto"/>
          <w:kern w:val="2"/>
          <w:sz w:val="24"/>
          <w:szCs w:val="24"/>
          <w14:ligatures w14:val="standardContextual"/>
        </w:rPr>
      </w:pPr>
      <w:r w:rsidRPr="000F327C">
        <w:fldChar w:fldCharType="begin"/>
      </w:r>
      <w:r w:rsidRPr="000F327C">
        <w:instrText xml:space="preserve"> TOC \o "1-9" \n \h \z \t "chead1,1,chead2,2" </w:instrText>
      </w:r>
      <w:r w:rsidRPr="000F327C">
        <w:fldChar w:fldCharType="separate"/>
      </w:r>
      <w:hyperlink w:anchor="_Toc199229718" w:history="1">
        <w:r w:rsidR="000F327C" w:rsidRPr="005826BC">
          <w:rPr>
            <w:rStyle w:val="Hyperlink"/>
          </w:rPr>
          <w:t>200.000</w:t>
        </w:r>
        <w:r w:rsidR="000F327C">
          <w:rPr>
            <w:rFonts w:asciiTheme="minorHAnsi" w:eastAsiaTheme="minorEastAsia" w:hAnsiTheme="minorHAnsi" w:cstheme="minorBidi"/>
            <w:b w:val="0"/>
            <w:caps w:val="0"/>
            <w:color w:val="auto"/>
            <w:kern w:val="2"/>
            <w:sz w:val="24"/>
            <w:szCs w:val="24"/>
            <w14:ligatures w14:val="standardContextual"/>
          </w:rPr>
          <w:tab/>
        </w:r>
        <w:r w:rsidR="000F327C" w:rsidRPr="005826BC">
          <w:rPr>
            <w:rStyle w:val="Hyperlink"/>
          </w:rPr>
          <w:t>HYPERALIMENTATION GENERAL INFORMATION</w:t>
        </w:r>
      </w:hyperlink>
    </w:p>
    <w:p w14:paraId="4ED7878A" w14:textId="1B87B190" w:rsidR="000F327C" w:rsidRDefault="000F327C">
      <w:pPr>
        <w:pStyle w:val="TOC2"/>
        <w:rPr>
          <w:rFonts w:asciiTheme="minorHAnsi" w:eastAsiaTheme="minorEastAsia" w:hAnsiTheme="minorHAnsi" w:cstheme="minorBidi"/>
          <w:kern w:val="2"/>
          <w:sz w:val="24"/>
          <w:szCs w:val="24"/>
          <w14:ligatures w14:val="standardContextual"/>
        </w:rPr>
      </w:pPr>
      <w:hyperlink w:anchor="_Toc199229719" w:history="1">
        <w:r w:rsidRPr="005826BC">
          <w:rPr>
            <w:rStyle w:val="Hyperlink"/>
          </w:rPr>
          <w:t>201.000</w:t>
        </w:r>
        <w:r>
          <w:rPr>
            <w:rFonts w:asciiTheme="minorHAnsi" w:eastAsiaTheme="minorEastAsia" w:hAnsiTheme="minorHAnsi" w:cstheme="minorBidi"/>
            <w:kern w:val="2"/>
            <w:sz w:val="24"/>
            <w:szCs w:val="24"/>
            <w14:ligatures w14:val="standardContextual"/>
          </w:rPr>
          <w:tab/>
        </w:r>
        <w:r w:rsidRPr="005826BC">
          <w:rPr>
            <w:rStyle w:val="Hyperlink"/>
          </w:rPr>
          <w:t>Introduction</w:t>
        </w:r>
      </w:hyperlink>
    </w:p>
    <w:p w14:paraId="3D779944" w14:textId="679398BA" w:rsidR="000F327C" w:rsidRDefault="000F327C">
      <w:pPr>
        <w:pStyle w:val="TOC2"/>
        <w:rPr>
          <w:rFonts w:asciiTheme="minorHAnsi" w:eastAsiaTheme="minorEastAsia" w:hAnsiTheme="minorHAnsi" w:cstheme="minorBidi"/>
          <w:kern w:val="2"/>
          <w:sz w:val="24"/>
          <w:szCs w:val="24"/>
          <w14:ligatures w14:val="standardContextual"/>
        </w:rPr>
      </w:pPr>
      <w:hyperlink w:anchor="_Toc199229720" w:history="1">
        <w:r w:rsidRPr="005826BC">
          <w:rPr>
            <w:rStyle w:val="Hyperlink"/>
          </w:rPr>
          <w:t>202.000</w:t>
        </w:r>
        <w:r>
          <w:rPr>
            <w:rFonts w:asciiTheme="minorHAnsi" w:eastAsiaTheme="minorEastAsia" w:hAnsiTheme="minorHAnsi" w:cstheme="minorBidi"/>
            <w:kern w:val="2"/>
            <w:sz w:val="24"/>
            <w:szCs w:val="24"/>
            <w14:ligatures w14:val="standardContextual"/>
          </w:rPr>
          <w:tab/>
        </w:r>
        <w:r w:rsidRPr="005826BC">
          <w:rPr>
            <w:rStyle w:val="Hyperlink"/>
          </w:rPr>
          <w:t>Arkansas Medicaid Participation Requirements for Hyperalimentation Providers</w:t>
        </w:r>
      </w:hyperlink>
    </w:p>
    <w:p w14:paraId="303FA144" w14:textId="36C89732" w:rsidR="000F327C" w:rsidRDefault="000F327C">
      <w:pPr>
        <w:pStyle w:val="TOC2"/>
        <w:rPr>
          <w:rFonts w:asciiTheme="minorHAnsi" w:eastAsiaTheme="minorEastAsia" w:hAnsiTheme="minorHAnsi" w:cstheme="minorBidi"/>
          <w:kern w:val="2"/>
          <w:sz w:val="24"/>
          <w:szCs w:val="24"/>
          <w14:ligatures w14:val="standardContextual"/>
        </w:rPr>
      </w:pPr>
      <w:hyperlink w:anchor="_Toc199229721" w:history="1">
        <w:r w:rsidRPr="005826BC">
          <w:rPr>
            <w:rStyle w:val="Hyperlink"/>
          </w:rPr>
          <w:t>202.100</w:t>
        </w:r>
        <w:r>
          <w:rPr>
            <w:rFonts w:asciiTheme="minorHAnsi" w:eastAsiaTheme="minorEastAsia" w:hAnsiTheme="minorHAnsi" w:cstheme="minorBidi"/>
            <w:kern w:val="2"/>
            <w:sz w:val="24"/>
            <w:szCs w:val="24"/>
            <w14:ligatures w14:val="standardContextual"/>
          </w:rPr>
          <w:tab/>
        </w:r>
        <w:r w:rsidRPr="005826BC">
          <w:rPr>
            <w:rStyle w:val="Hyperlink"/>
          </w:rPr>
          <w:t>Hyperalimentation Providers in Arkansas and Bordering States</w:t>
        </w:r>
      </w:hyperlink>
    </w:p>
    <w:p w14:paraId="141A8632" w14:textId="3A5DC054" w:rsidR="000F327C" w:rsidRDefault="000F327C">
      <w:pPr>
        <w:pStyle w:val="TOC2"/>
        <w:rPr>
          <w:rFonts w:asciiTheme="minorHAnsi" w:eastAsiaTheme="minorEastAsia" w:hAnsiTheme="minorHAnsi" w:cstheme="minorBidi"/>
          <w:kern w:val="2"/>
          <w:sz w:val="24"/>
          <w:szCs w:val="24"/>
          <w14:ligatures w14:val="standardContextual"/>
        </w:rPr>
      </w:pPr>
      <w:hyperlink w:anchor="_Toc199229722" w:history="1">
        <w:r w:rsidRPr="005826BC">
          <w:rPr>
            <w:rStyle w:val="Hyperlink"/>
          </w:rPr>
          <w:t>202.200</w:t>
        </w:r>
        <w:r>
          <w:rPr>
            <w:rFonts w:asciiTheme="minorHAnsi" w:eastAsiaTheme="minorEastAsia" w:hAnsiTheme="minorHAnsi" w:cstheme="minorBidi"/>
            <w:kern w:val="2"/>
            <w:sz w:val="24"/>
            <w:szCs w:val="24"/>
            <w14:ligatures w14:val="standardContextual"/>
          </w:rPr>
          <w:tab/>
        </w:r>
        <w:r w:rsidRPr="005826BC">
          <w:rPr>
            <w:rStyle w:val="Hyperlink"/>
          </w:rPr>
          <w:t>Hyperalimentation Providers Enrollment in States Not Bordering Arkansas</w:t>
        </w:r>
      </w:hyperlink>
    </w:p>
    <w:p w14:paraId="589AF37F" w14:textId="04AFE099" w:rsidR="000F327C" w:rsidRDefault="000F327C">
      <w:pPr>
        <w:pStyle w:val="TOC2"/>
        <w:rPr>
          <w:rFonts w:asciiTheme="minorHAnsi" w:eastAsiaTheme="minorEastAsia" w:hAnsiTheme="minorHAnsi" w:cstheme="minorBidi"/>
          <w:kern w:val="2"/>
          <w:sz w:val="24"/>
          <w:szCs w:val="24"/>
          <w14:ligatures w14:val="standardContextual"/>
        </w:rPr>
      </w:pPr>
      <w:hyperlink w:anchor="_Toc199229723" w:history="1">
        <w:r w:rsidRPr="005826BC">
          <w:rPr>
            <w:rStyle w:val="Hyperlink"/>
          </w:rPr>
          <w:t>202.300</w:t>
        </w:r>
        <w:r>
          <w:rPr>
            <w:rFonts w:asciiTheme="minorHAnsi" w:eastAsiaTheme="minorEastAsia" w:hAnsiTheme="minorHAnsi" w:cstheme="minorBidi"/>
            <w:kern w:val="2"/>
            <w:sz w:val="24"/>
            <w:szCs w:val="24"/>
            <w14:ligatures w14:val="standardContextual"/>
          </w:rPr>
          <w:tab/>
        </w:r>
        <w:r w:rsidRPr="005826BC">
          <w:rPr>
            <w:rStyle w:val="Hyperlink"/>
          </w:rPr>
          <w:t>Electronic Signatures</w:t>
        </w:r>
      </w:hyperlink>
    </w:p>
    <w:p w14:paraId="4B7C25FA" w14:textId="64C84BDD" w:rsidR="000F327C" w:rsidRDefault="000F327C">
      <w:pPr>
        <w:pStyle w:val="TOC1"/>
        <w:rPr>
          <w:rFonts w:asciiTheme="minorHAnsi" w:eastAsiaTheme="minorEastAsia" w:hAnsiTheme="minorHAnsi" w:cstheme="minorBidi"/>
          <w:b w:val="0"/>
          <w:caps w:val="0"/>
          <w:color w:val="auto"/>
          <w:kern w:val="2"/>
          <w:sz w:val="24"/>
          <w:szCs w:val="24"/>
          <w14:ligatures w14:val="standardContextual"/>
        </w:rPr>
      </w:pPr>
      <w:hyperlink w:anchor="_Toc199229724" w:history="1">
        <w:r w:rsidRPr="005826BC">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5826BC">
          <w:rPr>
            <w:rStyle w:val="Hyperlink"/>
          </w:rPr>
          <w:t>PROGRAM COVERAGE</w:t>
        </w:r>
      </w:hyperlink>
    </w:p>
    <w:p w14:paraId="74C9D5AA" w14:textId="4735EA42" w:rsidR="000F327C" w:rsidRDefault="000F327C">
      <w:pPr>
        <w:pStyle w:val="TOC2"/>
        <w:rPr>
          <w:rFonts w:asciiTheme="minorHAnsi" w:eastAsiaTheme="minorEastAsia" w:hAnsiTheme="minorHAnsi" w:cstheme="minorBidi"/>
          <w:kern w:val="2"/>
          <w:sz w:val="24"/>
          <w:szCs w:val="24"/>
          <w14:ligatures w14:val="standardContextual"/>
        </w:rPr>
      </w:pPr>
      <w:hyperlink w:anchor="_Toc199229725" w:history="1">
        <w:r w:rsidRPr="005826BC">
          <w:rPr>
            <w:rStyle w:val="Hyperlink"/>
          </w:rPr>
          <w:t>211.000</w:t>
        </w:r>
        <w:r>
          <w:rPr>
            <w:rFonts w:asciiTheme="minorHAnsi" w:eastAsiaTheme="minorEastAsia" w:hAnsiTheme="minorHAnsi" w:cstheme="minorBidi"/>
            <w:kern w:val="2"/>
            <w:sz w:val="24"/>
            <w:szCs w:val="24"/>
            <w14:ligatures w14:val="standardContextual"/>
          </w:rPr>
          <w:tab/>
        </w:r>
        <w:r w:rsidRPr="005826BC">
          <w:rPr>
            <w:rStyle w:val="Hyperlink"/>
          </w:rPr>
          <w:t>Introduction</w:t>
        </w:r>
      </w:hyperlink>
    </w:p>
    <w:p w14:paraId="7E16BF88" w14:textId="1E239727" w:rsidR="000F327C" w:rsidRDefault="000F327C">
      <w:pPr>
        <w:pStyle w:val="TOC2"/>
        <w:rPr>
          <w:rFonts w:asciiTheme="minorHAnsi" w:eastAsiaTheme="minorEastAsia" w:hAnsiTheme="minorHAnsi" w:cstheme="minorBidi"/>
          <w:kern w:val="2"/>
          <w:sz w:val="24"/>
          <w:szCs w:val="24"/>
          <w14:ligatures w14:val="standardContextual"/>
        </w:rPr>
      </w:pPr>
      <w:hyperlink w:anchor="_Toc199229726" w:history="1">
        <w:r w:rsidRPr="005826BC">
          <w:rPr>
            <w:rStyle w:val="Hyperlink"/>
          </w:rPr>
          <w:t>212.000</w:t>
        </w:r>
        <w:r>
          <w:rPr>
            <w:rFonts w:asciiTheme="minorHAnsi" w:eastAsiaTheme="minorEastAsia" w:hAnsiTheme="minorHAnsi" w:cstheme="minorBidi"/>
            <w:kern w:val="2"/>
            <w:sz w:val="24"/>
            <w:szCs w:val="24"/>
            <w14:ligatures w14:val="standardContextual"/>
          </w:rPr>
          <w:tab/>
        </w:r>
        <w:r w:rsidRPr="005826BC">
          <w:rPr>
            <w:rStyle w:val="Hyperlink"/>
          </w:rPr>
          <w:t>Scope</w:t>
        </w:r>
      </w:hyperlink>
    </w:p>
    <w:p w14:paraId="49BED072" w14:textId="4F34E878" w:rsidR="000F327C" w:rsidRDefault="000F327C">
      <w:pPr>
        <w:pStyle w:val="TOC2"/>
        <w:rPr>
          <w:rFonts w:asciiTheme="minorHAnsi" w:eastAsiaTheme="minorEastAsia" w:hAnsiTheme="minorHAnsi" w:cstheme="minorBidi"/>
          <w:kern w:val="2"/>
          <w:sz w:val="24"/>
          <w:szCs w:val="24"/>
          <w14:ligatures w14:val="standardContextual"/>
        </w:rPr>
      </w:pPr>
      <w:hyperlink w:anchor="_Toc199229727" w:history="1">
        <w:r w:rsidRPr="005826BC">
          <w:rPr>
            <w:rStyle w:val="Hyperlink"/>
          </w:rPr>
          <w:t>213.000</w:t>
        </w:r>
        <w:r>
          <w:rPr>
            <w:rFonts w:asciiTheme="minorHAnsi" w:eastAsiaTheme="minorEastAsia" w:hAnsiTheme="minorHAnsi" w:cstheme="minorBidi"/>
            <w:kern w:val="2"/>
            <w:sz w:val="24"/>
            <w:szCs w:val="24"/>
            <w14:ligatures w14:val="standardContextual"/>
          </w:rPr>
          <w:tab/>
        </w:r>
        <w:r w:rsidRPr="005826BC">
          <w:rPr>
            <w:rStyle w:val="Hyperlink"/>
          </w:rPr>
          <w:t>Coverage of Parenteral Hyperalimentation Services/Benefit Limits</w:t>
        </w:r>
      </w:hyperlink>
    </w:p>
    <w:p w14:paraId="384F91FC" w14:textId="61B831DF" w:rsidR="000F327C" w:rsidRDefault="000F327C">
      <w:pPr>
        <w:pStyle w:val="TOC2"/>
        <w:rPr>
          <w:rFonts w:asciiTheme="minorHAnsi" w:eastAsiaTheme="minorEastAsia" w:hAnsiTheme="minorHAnsi" w:cstheme="minorBidi"/>
          <w:kern w:val="2"/>
          <w:sz w:val="24"/>
          <w:szCs w:val="24"/>
          <w14:ligatures w14:val="standardContextual"/>
        </w:rPr>
      </w:pPr>
      <w:hyperlink w:anchor="_Toc199229728" w:history="1">
        <w:r w:rsidRPr="005826BC">
          <w:rPr>
            <w:rStyle w:val="Hyperlink"/>
          </w:rPr>
          <w:t>214.000</w:t>
        </w:r>
        <w:r>
          <w:rPr>
            <w:rFonts w:asciiTheme="minorHAnsi" w:eastAsiaTheme="minorEastAsia" w:hAnsiTheme="minorHAnsi" w:cstheme="minorBidi"/>
            <w:kern w:val="2"/>
            <w:sz w:val="24"/>
            <w:szCs w:val="24"/>
            <w14:ligatures w14:val="standardContextual"/>
          </w:rPr>
          <w:tab/>
        </w:r>
        <w:r w:rsidRPr="005826BC">
          <w:rPr>
            <w:rStyle w:val="Hyperlink"/>
          </w:rPr>
          <w:t>Coverage of Enteral (Sole Source) Hyperalimentation Services/Benefit Limits</w:t>
        </w:r>
      </w:hyperlink>
    </w:p>
    <w:p w14:paraId="5FA051F4" w14:textId="222F7835" w:rsidR="000F327C" w:rsidRDefault="000F327C">
      <w:pPr>
        <w:pStyle w:val="TOC2"/>
        <w:rPr>
          <w:rFonts w:asciiTheme="minorHAnsi" w:eastAsiaTheme="minorEastAsia" w:hAnsiTheme="minorHAnsi" w:cstheme="minorBidi"/>
          <w:kern w:val="2"/>
          <w:sz w:val="24"/>
          <w:szCs w:val="24"/>
          <w14:ligatures w14:val="standardContextual"/>
        </w:rPr>
      </w:pPr>
      <w:hyperlink w:anchor="_Toc199229729" w:history="1">
        <w:r w:rsidRPr="005826BC">
          <w:rPr>
            <w:rStyle w:val="Hyperlink"/>
          </w:rPr>
          <w:t>215.000</w:t>
        </w:r>
        <w:r>
          <w:rPr>
            <w:rFonts w:asciiTheme="minorHAnsi" w:eastAsiaTheme="minorEastAsia" w:hAnsiTheme="minorHAnsi" w:cstheme="minorBidi"/>
            <w:kern w:val="2"/>
            <w:sz w:val="24"/>
            <w:szCs w:val="24"/>
            <w14:ligatures w14:val="standardContextual"/>
          </w:rPr>
          <w:tab/>
        </w:r>
        <w:r w:rsidRPr="005826BC">
          <w:rPr>
            <w:rStyle w:val="Hyperlink"/>
          </w:rPr>
          <w:t>Exclusions</w:t>
        </w:r>
      </w:hyperlink>
    </w:p>
    <w:p w14:paraId="2474DC94" w14:textId="7121F275" w:rsidR="000F327C" w:rsidRDefault="000F327C">
      <w:pPr>
        <w:pStyle w:val="TOC2"/>
        <w:rPr>
          <w:rFonts w:asciiTheme="minorHAnsi" w:eastAsiaTheme="minorEastAsia" w:hAnsiTheme="minorHAnsi" w:cstheme="minorBidi"/>
          <w:kern w:val="2"/>
          <w:sz w:val="24"/>
          <w:szCs w:val="24"/>
          <w14:ligatures w14:val="standardContextual"/>
        </w:rPr>
      </w:pPr>
      <w:hyperlink w:anchor="_Toc199229730" w:history="1">
        <w:r w:rsidRPr="005826BC">
          <w:rPr>
            <w:rStyle w:val="Hyperlink"/>
          </w:rPr>
          <w:t>216.000</w:t>
        </w:r>
        <w:r>
          <w:rPr>
            <w:rFonts w:asciiTheme="minorHAnsi" w:eastAsiaTheme="minorEastAsia" w:hAnsiTheme="minorHAnsi" w:cstheme="minorBidi"/>
            <w:kern w:val="2"/>
            <w:sz w:val="24"/>
            <w:szCs w:val="24"/>
            <w14:ligatures w14:val="standardContextual"/>
          </w:rPr>
          <w:tab/>
        </w:r>
        <w:r w:rsidRPr="005826BC">
          <w:rPr>
            <w:rStyle w:val="Hyperlink"/>
          </w:rPr>
          <w:t>Documentation Requirements</w:t>
        </w:r>
      </w:hyperlink>
    </w:p>
    <w:p w14:paraId="323ED290" w14:textId="6FB79060" w:rsidR="000F327C" w:rsidRDefault="000F327C">
      <w:pPr>
        <w:pStyle w:val="TOC2"/>
        <w:rPr>
          <w:rFonts w:asciiTheme="minorHAnsi" w:eastAsiaTheme="minorEastAsia" w:hAnsiTheme="minorHAnsi" w:cstheme="minorBidi"/>
          <w:kern w:val="2"/>
          <w:sz w:val="24"/>
          <w:szCs w:val="24"/>
          <w14:ligatures w14:val="standardContextual"/>
        </w:rPr>
      </w:pPr>
      <w:hyperlink w:anchor="_Toc199229731" w:history="1">
        <w:r w:rsidRPr="005826BC">
          <w:rPr>
            <w:rStyle w:val="Hyperlink"/>
          </w:rPr>
          <w:t>216.100</w:t>
        </w:r>
        <w:r>
          <w:rPr>
            <w:rFonts w:asciiTheme="minorHAnsi" w:eastAsiaTheme="minorEastAsia" w:hAnsiTheme="minorHAnsi" w:cstheme="minorBidi"/>
            <w:kern w:val="2"/>
            <w:sz w:val="24"/>
            <w:szCs w:val="24"/>
            <w14:ligatures w14:val="standardContextual"/>
          </w:rPr>
          <w:tab/>
        </w:r>
        <w:r w:rsidRPr="005826BC">
          <w:rPr>
            <w:rStyle w:val="Hyperlink"/>
          </w:rPr>
          <w:t>Reserved</w:t>
        </w:r>
      </w:hyperlink>
    </w:p>
    <w:p w14:paraId="2F20AC04" w14:textId="30C03C77" w:rsidR="000F327C" w:rsidRDefault="000F327C">
      <w:pPr>
        <w:pStyle w:val="TOC1"/>
        <w:rPr>
          <w:rFonts w:asciiTheme="minorHAnsi" w:eastAsiaTheme="minorEastAsia" w:hAnsiTheme="minorHAnsi" w:cstheme="minorBidi"/>
          <w:b w:val="0"/>
          <w:caps w:val="0"/>
          <w:color w:val="auto"/>
          <w:kern w:val="2"/>
          <w:sz w:val="24"/>
          <w:szCs w:val="24"/>
          <w14:ligatures w14:val="standardContextual"/>
        </w:rPr>
      </w:pPr>
      <w:hyperlink w:anchor="_Toc199229732" w:history="1">
        <w:r w:rsidRPr="005826BC">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5826BC">
          <w:rPr>
            <w:rStyle w:val="Hyperlink"/>
          </w:rPr>
          <w:t>PRIOR AUTHORIZATION</w:t>
        </w:r>
      </w:hyperlink>
    </w:p>
    <w:p w14:paraId="1373D6CB" w14:textId="78FA43C3" w:rsidR="000F327C" w:rsidRDefault="000F327C">
      <w:pPr>
        <w:pStyle w:val="TOC2"/>
        <w:rPr>
          <w:rFonts w:asciiTheme="minorHAnsi" w:eastAsiaTheme="minorEastAsia" w:hAnsiTheme="minorHAnsi" w:cstheme="minorBidi"/>
          <w:kern w:val="2"/>
          <w:sz w:val="24"/>
          <w:szCs w:val="24"/>
          <w14:ligatures w14:val="standardContextual"/>
        </w:rPr>
      </w:pPr>
      <w:hyperlink w:anchor="_Toc199229733" w:history="1">
        <w:r w:rsidRPr="005826BC">
          <w:rPr>
            <w:rStyle w:val="Hyperlink"/>
          </w:rPr>
          <w:t>221.000</w:t>
        </w:r>
        <w:r>
          <w:rPr>
            <w:rFonts w:asciiTheme="minorHAnsi" w:eastAsiaTheme="minorEastAsia" w:hAnsiTheme="minorHAnsi" w:cstheme="minorBidi"/>
            <w:kern w:val="2"/>
            <w:sz w:val="24"/>
            <w:szCs w:val="24"/>
            <w14:ligatures w14:val="standardContextual"/>
          </w:rPr>
          <w:tab/>
        </w:r>
        <w:r w:rsidRPr="005826BC">
          <w:rPr>
            <w:rStyle w:val="Hyperlink"/>
          </w:rPr>
          <w:t>Prior Authorization</w:t>
        </w:r>
      </w:hyperlink>
    </w:p>
    <w:p w14:paraId="5E03EC35" w14:textId="794F9912" w:rsidR="000F327C" w:rsidRDefault="000F327C">
      <w:pPr>
        <w:pStyle w:val="TOC2"/>
        <w:rPr>
          <w:rFonts w:asciiTheme="minorHAnsi" w:eastAsiaTheme="minorEastAsia" w:hAnsiTheme="minorHAnsi" w:cstheme="minorBidi"/>
          <w:kern w:val="2"/>
          <w:sz w:val="24"/>
          <w:szCs w:val="24"/>
          <w14:ligatures w14:val="standardContextual"/>
        </w:rPr>
      </w:pPr>
      <w:hyperlink w:anchor="_Toc199229734" w:history="1">
        <w:r w:rsidRPr="005826BC">
          <w:rPr>
            <w:rStyle w:val="Hyperlink"/>
          </w:rPr>
          <w:t>222.000</w:t>
        </w:r>
        <w:r>
          <w:rPr>
            <w:rFonts w:asciiTheme="minorHAnsi" w:eastAsiaTheme="minorEastAsia" w:hAnsiTheme="minorHAnsi" w:cstheme="minorBidi"/>
            <w:kern w:val="2"/>
            <w:sz w:val="24"/>
            <w:szCs w:val="24"/>
            <w14:ligatures w14:val="standardContextual"/>
          </w:rPr>
          <w:tab/>
        </w:r>
        <w:r w:rsidRPr="005826BC">
          <w:rPr>
            <w:rStyle w:val="Hyperlink"/>
          </w:rPr>
          <w:t>Request for Prior Authorization</w:t>
        </w:r>
      </w:hyperlink>
    </w:p>
    <w:p w14:paraId="57898B83" w14:textId="6C3C1288" w:rsidR="000F327C" w:rsidRDefault="000F327C">
      <w:pPr>
        <w:pStyle w:val="TOC2"/>
        <w:rPr>
          <w:rFonts w:asciiTheme="minorHAnsi" w:eastAsiaTheme="minorEastAsia" w:hAnsiTheme="minorHAnsi" w:cstheme="minorBidi"/>
          <w:kern w:val="2"/>
          <w:sz w:val="24"/>
          <w:szCs w:val="24"/>
          <w14:ligatures w14:val="standardContextual"/>
        </w:rPr>
      </w:pPr>
      <w:hyperlink w:anchor="_Toc199229735" w:history="1">
        <w:r w:rsidRPr="005826BC">
          <w:rPr>
            <w:rStyle w:val="Hyperlink"/>
          </w:rPr>
          <w:t>222.100</w:t>
        </w:r>
        <w:r>
          <w:rPr>
            <w:rFonts w:asciiTheme="minorHAnsi" w:eastAsiaTheme="minorEastAsia" w:hAnsiTheme="minorHAnsi" w:cstheme="minorBidi"/>
            <w:kern w:val="2"/>
            <w:sz w:val="24"/>
            <w:szCs w:val="24"/>
            <w14:ligatures w14:val="standardContextual"/>
          </w:rPr>
          <w:tab/>
        </w:r>
        <w:r w:rsidRPr="005826BC">
          <w:rPr>
            <w:rStyle w:val="Hyperlink"/>
          </w:rPr>
          <w:t>Approvals of Prior Authorization Requests</w:t>
        </w:r>
      </w:hyperlink>
    </w:p>
    <w:p w14:paraId="52BA0DC2" w14:textId="2CCE150B" w:rsidR="000F327C" w:rsidRDefault="000F327C">
      <w:pPr>
        <w:pStyle w:val="TOC2"/>
        <w:rPr>
          <w:rFonts w:asciiTheme="minorHAnsi" w:eastAsiaTheme="minorEastAsia" w:hAnsiTheme="minorHAnsi" w:cstheme="minorBidi"/>
          <w:kern w:val="2"/>
          <w:sz w:val="24"/>
          <w:szCs w:val="24"/>
          <w14:ligatures w14:val="standardContextual"/>
        </w:rPr>
      </w:pPr>
      <w:hyperlink w:anchor="_Toc199229736" w:history="1">
        <w:r w:rsidRPr="005826BC">
          <w:rPr>
            <w:rStyle w:val="Hyperlink"/>
          </w:rPr>
          <w:t>222.200</w:t>
        </w:r>
        <w:r>
          <w:rPr>
            <w:rFonts w:asciiTheme="minorHAnsi" w:eastAsiaTheme="minorEastAsia" w:hAnsiTheme="minorHAnsi" w:cstheme="minorBidi"/>
            <w:kern w:val="2"/>
            <w:sz w:val="24"/>
            <w:szCs w:val="24"/>
            <w14:ligatures w14:val="standardContextual"/>
          </w:rPr>
          <w:tab/>
        </w:r>
        <w:r w:rsidRPr="005826BC">
          <w:rPr>
            <w:rStyle w:val="Hyperlink"/>
          </w:rPr>
          <w:t>Denial of Prior Authorization Requests</w:t>
        </w:r>
      </w:hyperlink>
    </w:p>
    <w:p w14:paraId="46AEBE44" w14:textId="0FE059DD" w:rsidR="000F327C" w:rsidRDefault="000F327C">
      <w:pPr>
        <w:pStyle w:val="TOC2"/>
        <w:rPr>
          <w:rFonts w:asciiTheme="minorHAnsi" w:eastAsiaTheme="minorEastAsia" w:hAnsiTheme="minorHAnsi" w:cstheme="minorBidi"/>
          <w:kern w:val="2"/>
          <w:sz w:val="24"/>
          <w:szCs w:val="24"/>
          <w14:ligatures w14:val="standardContextual"/>
        </w:rPr>
      </w:pPr>
      <w:hyperlink w:anchor="_Toc199229737" w:history="1">
        <w:r w:rsidRPr="005826BC">
          <w:rPr>
            <w:rStyle w:val="Hyperlink"/>
          </w:rPr>
          <w:t>222.300</w:t>
        </w:r>
        <w:r>
          <w:rPr>
            <w:rFonts w:asciiTheme="minorHAnsi" w:eastAsiaTheme="minorEastAsia" w:hAnsiTheme="minorHAnsi" w:cstheme="minorBidi"/>
            <w:kern w:val="2"/>
            <w:sz w:val="24"/>
            <w:szCs w:val="24"/>
            <w14:ligatures w14:val="standardContextual"/>
          </w:rPr>
          <w:tab/>
        </w:r>
        <w:r w:rsidRPr="005826BC">
          <w:rPr>
            <w:rStyle w:val="Hyperlink"/>
            <w:highlight w:val="yellow"/>
          </w:rPr>
          <w:t>Administrative Reconsideration and Appeals</w:t>
        </w:r>
      </w:hyperlink>
    </w:p>
    <w:p w14:paraId="38C61B08" w14:textId="48EC0A49" w:rsidR="000F327C" w:rsidRDefault="000F327C">
      <w:pPr>
        <w:pStyle w:val="TOC2"/>
        <w:rPr>
          <w:rFonts w:asciiTheme="minorHAnsi" w:eastAsiaTheme="minorEastAsia" w:hAnsiTheme="minorHAnsi" w:cstheme="minorBidi"/>
          <w:kern w:val="2"/>
          <w:sz w:val="24"/>
          <w:szCs w:val="24"/>
          <w14:ligatures w14:val="standardContextual"/>
        </w:rPr>
      </w:pPr>
      <w:hyperlink w:anchor="_Toc199229738" w:history="1">
        <w:r w:rsidRPr="005826BC">
          <w:rPr>
            <w:rStyle w:val="Hyperlink"/>
          </w:rPr>
          <w:t>222.400</w:t>
        </w:r>
        <w:r>
          <w:rPr>
            <w:rFonts w:asciiTheme="minorHAnsi" w:eastAsiaTheme="minorEastAsia" w:hAnsiTheme="minorHAnsi" w:cstheme="minorBidi"/>
            <w:kern w:val="2"/>
            <w:sz w:val="24"/>
            <w:szCs w:val="24"/>
            <w14:ligatures w14:val="standardContextual"/>
          </w:rPr>
          <w:tab/>
        </w:r>
        <w:r w:rsidRPr="005826BC">
          <w:rPr>
            <w:rStyle w:val="Hyperlink"/>
            <w:highlight w:val="yellow"/>
          </w:rPr>
          <w:t>Reserved</w:t>
        </w:r>
      </w:hyperlink>
    </w:p>
    <w:p w14:paraId="2307E410" w14:textId="766DCBB6" w:rsidR="000F327C" w:rsidRDefault="000F327C">
      <w:pPr>
        <w:pStyle w:val="TOC2"/>
        <w:rPr>
          <w:rFonts w:asciiTheme="minorHAnsi" w:eastAsiaTheme="minorEastAsia" w:hAnsiTheme="minorHAnsi" w:cstheme="minorBidi"/>
          <w:kern w:val="2"/>
          <w:sz w:val="24"/>
          <w:szCs w:val="24"/>
          <w14:ligatures w14:val="standardContextual"/>
        </w:rPr>
      </w:pPr>
      <w:hyperlink w:anchor="_Toc199229739" w:history="1">
        <w:r w:rsidRPr="005826BC">
          <w:rPr>
            <w:rStyle w:val="Hyperlink"/>
          </w:rPr>
          <w:t>223.000</w:t>
        </w:r>
        <w:r>
          <w:rPr>
            <w:rFonts w:asciiTheme="minorHAnsi" w:eastAsiaTheme="minorEastAsia" w:hAnsiTheme="minorHAnsi" w:cstheme="minorBidi"/>
            <w:kern w:val="2"/>
            <w:sz w:val="24"/>
            <w:szCs w:val="24"/>
            <w14:ligatures w14:val="standardContextual"/>
          </w:rPr>
          <w:tab/>
        </w:r>
        <w:r w:rsidRPr="005826BC">
          <w:rPr>
            <w:rStyle w:val="Hyperlink"/>
          </w:rPr>
          <w:t>Pre-Approval of Hyperalimentation Services</w:t>
        </w:r>
      </w:hyperlink>
    </w:p>
    <w:p w14:paraId="00C511B5" w14:textId="7085CB50" w:rsidR="000F327C" w:rsidRDefault="000F327C">
      <w:pPr>
        <w:pStyle w:val="TOC1"/>
        <w:rPr>
          <w:rFonts w:asciiTheme="minorHAnsi" w:eastAsiaTheme="minorEastAsia" w:hAnsiTheme="minorHAnsi" w:cstheme="minorBidi"/>
          <w:b w:val="0"/>
          <w:caps w:val="0"/>
          <w:color w:val="auto"/>
          <w:kern w:val="2"/>
          <w:sz w:val="24"/>
          <w:szCs w:val="24"/>
          <w14:ligatures w14:val="standardContextual"/>
        </w:rPr>
      </w:pPr>
      <w:hyperlink w:anchor="_Toc199229740" w:history="1">
        <w:r w:rsidRPr="005826BC">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5826BC">
          <w:rPr>
            <w:rStyle w:val="Hyperlink"/>
          </w:rPr>
          <w:t>REIMBURSEMENT</w:t>
        </w:r>
      </w:hyperlink>
    </w:p>
    <w:p w14:paraId="234502B4" w14:textId="3C231FC8" w:rsidR="000F327C" w:rsidRDefault="000F327C">
      <w:pPr>
        <w:pStyle w:val="TOC2"/>
        <w:rPr>
          <w:rFonts w:asciiTheme="minorHAnsi" w:eastAsiaTheme="minorEastAsia" w:hAnsiTheme="minorHAnsi" w:cstheme="minorBidi"/>
          <w:kern w:val="2"/>
          <w:sz w:val="24"/>
          <w:szCs w:val="24"/>
          <w14:ligatures w14:val="standardContextual"/>
        </w:rPr>
      </w:pPr>
      <w:hyperlink w:anchor="_Toc199229741" w:history="1">
        <w:r w:rsidRPr="005826BC">
          <w:rPr>
            <w:rStyle w:val="Hyperlink"/>
          </w:rPr>
          <w:t>231.000</w:t>
        </w:r>
        <w:r>
          <w:rPr>
            <w:rFonts w:asciiTheme="minorHAnsi" w:eastAsiaTheme="minorEastAsia" w:hAnsiTheme="minorHAnsi" w:cstheme="minorBidi"/>
            <w:kern w:val="2"/>
            <w:sz w:val="24"/>
            <w:szCs w:val="24"/>
            <w14:ligatures w14:val="standardContextual"/>
          </w:rPr>
          <w:tab/>
        </w:r>
        <w:r w:rsidRPr="005826BC">
          <w:rPr>
            <w:rStyle w:val="Hyperlink"/>
          </w:rPr>
          <w:t>Method of Reimbursement</w:t>
        </w:r>
      </w:hyperlink>
    </w:p>
    <w:p w14:paraId="298584D7" w14:textId="18CF77A7" w:rsidR="000F327C" w:rsidRDefault="000F327C">
      <w:pPr>
        <w:pStyle w:val="TOC2"/>
        <w:rPr>
          <w:rFonts w:asciiTheme="minorHAnsi" w:eastAsiaTheme="minorEastAsia" w:hAnsiTheme="minorHAnsi" w:cstheme="minorBidi"/>
          <w:kern w:val="2"/>
          <w:sz w:val="24"/>
          <w:szCs w:val="24"/>
          <w14:ligatures w14:val="standardContextual"/>
        </w:rPr>
      </w:pPr>
      <w:hyperlink w:anchor="_Toc199229742" w:history="1">
        <w:r w:rsidRPr="005826BC">
          <w:rPr>
            <w:rStyle w:val="Hyperlink"/>
          </w:rPr>
          <w:t>231.010</w:t>
        </w:r>
        <w:r>
          <w:rPr>
            <w:rFonts w:asciiTheme="minorHAnsi" w:eastAsiaTheme="minorEastAsia" w:hAnsiTheme="minorHAnsi" w:cstheme="minorBidi"/>
            <w:kern w:val="2"/>
            <w:sz w:val="24"/>
            <w:szCs w:val="24"/>
            <w14:ligatures w14:val="standardContextual"/>
          </w:rPr>
          <w:tab/>
        </w:r>
        <w:r w:rsidRPr="005826BC">
          <w:rPr>
            <w:rStyle w:val="Hyperlink"/>
          </w:rPr>
          <w:t>Fee Schedules</w:t>
        </w:r>
      </w:hyperlink>
    </w:p>
    <w:p w14:paraId="0245FC18" w14:textId="7FCF01DC" w:rsidR="000F327C" w:rsidRDefault="000F327C">
      <w:pPr>
        <w:pStyle w:val="TOC2"/>
        <w:rPr>
          <w:rFonts w:asciiTheme="minorHAnsi" w:eastAsiaTheme="minorEastAsia" w:hAnsiTheme="minorHAnsi" w:cstheme="minorBidi"/>
          <w:kern w:val="2"/>
          <w:sz w:val="24"/>
          <w:szCs w:val="24"/>
          <w14:ligatures w14:val="standardContextual"/>
        </w:rPr>
      </w:pPr>
      <w:hyperlink w:anchor="_Toc199229743" w:history="1">
        <w:r w:rsidRPr="005826BC">
          <w:rPr>
            <w:rStyle w:val="Hyperlink"/>
          </w:rPr>
          <w:t>232.000</w:t>
        </w:r>
        <w:r>
          <w:rPr>
            <w:rFonts w:asciiTheme="minorHAnsi" w:eastAsiaTheme="minorEastAsia" w:hAnsiTheme="minorHAnsi" w:cstheme="minorBidi"/>
            <w:kern w:val="2"/>
            <w:sz w:val="24"/>
            <w:szCs w:val="24"/>
            <w14:ligatures w14:val="standardContextual"/>
          </w:rPr>
          <w:tab/>
        </w:r>
        <w:r w:rsidRPr="005826BC">
          <w:rPr>
            <w:rStyle w:val="Hyperlink"/>
          </w:rPr>
          <w:t>Rate Appeal Process</w:t>
        </w:r>
      </w:hyperlink>
    </w:p>
    <w:p w14:paraId="51E4E797" w14:textId="3A71D771" w:rsidR="000F327C" w:rsidRDefault="000F327C">
      <w:pPr>
        <w:pStyle w:val="TOC1"/>
        <w:rPr>
          <w:rFonts w:asciiTheme="minorHAnsi" w:eastAsiaTheme="minorEastAsia" w:hAnsiTheme="minorHAnsi" w:cstheme="minorBidi"/>
          <w:b w:val="0"/>
          <w:caps w:val="0"/>
          <w:color w:val="auto"/>
          <w:kern w:val="2"/>
          <w:sz w:val="24"/>
          <w:szCs w:val="24"/>
          <w14:ligatures w14:val="standardContextual"/>
        </w:rPr>
      </w:pPr>
      <w:hyperlink w:anchor="_Toc199229744" w:history="1">
        <w:r w:rsidRPr="005826BC">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5826BC">
          <w:rPr>
            <w:rStyle w:val="Hyperlink"/>
          </w:rPr>
          <w:t>BILLING PROCEDURES</w:t>
        </w:r>
      </w:hyperlink>
    </w:p>
    <w:p w14:paraId="55957D43" w14:textId="3A7F7FF9" w:rsidR="000F327C" w:rsidRDefault="000F327C">
      <w:pPr>
        <w:pStyle w:val="TOC2"/>
        <w:rPr>
          <w:rFonts w:asciiTheme="minorHAnsi" w:eastAsiaTheme="minorEastAsia" w:hAnsiTheme="minorHAnsi" w:cstheme="minorBidi"/>
          <w:kern w:val="2"/>
          <w:sz w:val="24"/>
          <w:szCs w:val="24"/>
          <w14:ligatures w14:val="standardContextual"/>
        </w:rPr>
      </w:pPr>
      <w:hyperlink w:anchor="_Toc199229745" w:history="1">
        <w:r w:rsidRPr="005826BC">
          <w:rPr>
            <w:rStyle w:val="Hyperlink"/>
          </w:rPr>
          <w:t>241.000</w:t>
        </w:r>
        <w:r>
          <w:rPr>
            <w:rFonts w:asciiTheme="minorHAnsi" w:eastAsiaTheme="minorEastAsia" w:hAnsiTheme="minorHAnsi" w:cstheme="minorBidi"/>
            <w:kern w:val="2"/>
            <w:sz w:val="24"/>
            <w:szCs w:val="24"/>
            <w14:ligatures w14:val="standardContextual"/>
          </w:rPr>
          <w:tab/>
        </w:r>
        <w:r w:rsidRPr="005826BC">
          <w:rPr>
            <w:rStyle w:val="Hyperlink"/>
          </w:rPr>
          <w:t>Introduction to Billing</w:t>
        </w:r>
      </w:hyperlink>
    </w:p>
    <w:p w14:paraId="62F34DA0" w14:textId="3D151DAC" w:rsidR="000F327C" w:rsidRDefault="000F327C">
      <w:pPr>
        <w:pStyle w:val="TOC2"/>
        <w:rPr>
          <w:rFonts w:asciiTheme="minorHAnsi" w:eastAsiaTheme="minorEastAsia" w:hAnsiTheme="minorHAnsi" w:cstheme="minorBidi"/>
          <w:kern w:val="2"/>
          <w:sz w:val="24"/>
          <w:szCs w:val="24"/>
          <w14:ligatures w14:val="standardContextual"/>
        </w:rPr>
      </w:pPr>
      <w:hyperlink w:anchor="_Toc199229746" w:history="1">
        <w:r w:rsidRPr="005826BC">
          <w:rPr>
            <w:rStyle w:val="Hyperlink"/>
          </w:rPr>
          <w:t>242.000</w:t>
        </w:r>
        <w:r>
          <w:rPr>
            <w:rFonts w:asciiTheme="minorHAnsi" w:eastAsiaTheme="minorEastAsia" w:hAnsiTheme="minorHAnsi" w:cstheme="minorBidi"/>
            <w:kern w:val="2"/>
            <w:sz w:val="24"/>
            <w:szCs w:val="24"/>
            <w14:ligatures w14:val="standardContextual"/>
          </w:rPr>
          <w:tab/>
        </w:r>
        <w:r w:rsidRPr="005826BC">
          <w:rPr>
            <w:rStyle w:val="Hyperlink"/>
          </w:rPr>
          <w:t>CMS-1500 Billing Procedures</w:t>
        </w:r>
      </w:hyperlink>
    </w:p>
    <w:p w14:paraId="2AF5EE9C" w14:textId="618DD5F4" w:rsidR="000F327C" w:rsidRDefault="000F327C">
      <w:pPr>
        <w:pStyle w:val="TOC2"/>
        <w:rPr>
          <w:rFonts w:asciiTheme="minorHAnsi" w:eastAsiaTheme="minorEastAsia" w:hAnsiTheme="minorHAnsi" w:cstheme="minorBidi"/>
          <w:kern w:val="2"/>
          <w:sz w:val="24"/>
          <w:szCs w:val="24"/>
          <w14:ligatures w14:val="standardContextual"/>
        </w:rPr>
      </w:pPr>
      <w:hyperlink w:anchor="_Toc199229747" w:history="1">
        <w:r w:rsidRPr="005826BC">
          <w:rPr>
            <w:rStyle w:val="Hyperlink"/>
          </w:rPr>
          <w:t>242.100</w:t>
        </w:r>
        <w:r>
          <w:rPr>
            <w:rFonts w:asciiTheme="minorHAnsi" w:eastAsiaTheme="minorEastAsia" w:hAnsiTheme="minorHAnsi" w:cstheme="minorBidi"/>
            <w:kern w:val="2"/>
            <w:sz w:val="24"/>
            <w:szCs w:val="24"/>
            <w14:ligatures w14:val="standardContextual"/>
          </w:rPr>
          <w:tab/>
        </w:r>
        <w:r w:rsidRPr="005826BC">
          <w:rPr>
            <w:rStyle w:val="Hyperlink"/>
          </w:rPr>
          <w:t>Hyperalimentation Procedure Codes</w:t>
        </w:r>
      </w:hyperlink>
    </w:p>
    <w:p w14:paraId="37CF9756" w14:textId="0EA21A5F" w:rsidR="000F327C" w:rsidRDefault="000F327C">
      <w:pPr>
        <w:pStyle w:val="TOC2"/>
        <w:rPr>
          <w:rFonts w:asciiTheme="minorHAnsi" w:eastAsiaTheme="minorEastAsia" w:hAnsiTheme="minorHAnsi" w:cstheme="minorBidi"/>
          <w:kern w:val="2"/>
          <w:sz w:val="24"/>
          <w:szCs w:val="24"/>
          <w14:ligatures w14:val="standardContextual"/>
        </w:rPr>
      </w:pPr>
      <w:hyperlink w:anchor="_Toc199229748" w:history="1">
        <w:r w:rsidRPr="005826BC">
          <w:rPr>
            <w:rStyle w:val="Hyperlink"/>
          </w:rPr>
          <w:t>242.110</w:t>
        </w:r>
        <w:r>
          <w:rPr>
            <w:rFonts w:asciiTheme="minorHAnsi" w:eastAsiaTheme="minorEastAsia" w:hAnsiTheme="minorHAnsi" w:cstheme="minorBidi"/>
            <w:kern w:val="2"/>
            <w:sz w:val="24"/>
            <w:szCs w:val="24"/>
            <w14:ligatures w14:val="standardContextual"/>
          </w:rPr>
          <w:tab/>
        </w:r>
        <w:r w:rsidRPr="005826BC">
          <w:rPr>
            <w:rStyle w:val="Hyperlink"/>
          </w:rPr>
          <w:t>Parenteral Hyperalimentation Services</w:t>
        </w:r>
      </w:hyperlink>
    </w:p>
    <w:p w14:paraId="31ED8EB7" w14:textId="0574E6FF" w:rsidR="000F327C" w:rsidRDefault="000F327C">
      <w:pPr>
        <w:pStyle w:val="TOC2"/>
        <w:rPr>
          <w:rFonts w:asciiTheme="minorHAnsi" w:eastAsiaTheme="minorEastAsia" w:hAnsiTheme="minorHAnsi" w:cstheme="minorBidi"/>
          <w:kern w:val="2"/>
          <w:sz w:val="24"/>
          <w:szCs w:val="24"/>
          <w14:ligatures w14:val="standardContextual"/>
        </w:rPr>
      </w:pPr>
      <w:hyperlink w:anchor="_Toc199229749" w:history="1">
        <w:r w:rsidRPr="005826BC">
          <w:rPr>
            <w:rStyle w:val="Hyperlink"/>
          </w:rPr>
          <w:t>242.120</w:t>
        </w:r>
        <w:r>
          <w:rPr>
            <w:rFonts w:asciiTheme="minorHAnsi" w:eastAsiaTheme="minorEastAsia" w:hAnsiTheme="minorHAnsi" w:cstheme="minorBidi"/>
            <w:kern w:val="2"/>
            <w:sz w:val="24"/>
            <w:szCs w:val="24"/>
            <w14:ligatures w14:val="standardContextual"/>
          </w:rPr>
          <w:tab/>
        </w:r>
        <w:r w:rsidRPr="005826BC">
          <w:rPr>
            <w:rStyle w:val="Hyperlink"/>
          </w:rPr>
          <w:t>Enteral (Sole Source) Formulae</w:t>
        </w:r>
      </w:hyperlink>
    </w:p>
    <w:p w14:paraId="0188DF78" w14:textId="3E1628DC" w:rsidR="000F327C" w:rsidRDefault="000F327C">
      <w:pPr>
        <w:pStyle w:val="TOC2"/>
        <w:rPr>
          <w:rFonts w:asciiTheme="minorHAnsi" w:eastAsiaTheme="minorEastAsia" w:hAnsiTheme="minorHAnsi" w:cstheme="minorBidi"/>
          <w:kern w:val="2"/>
          <w:sz w:val="24"/>
          <w:szCs w:val="24"/>
          <w14:ligatures w14:val="standardContextual"/>
        </w:rPr>
      </w:pPr>
      <w:hyperlink w:anchor="_Toc199229750" w:history="1">
        <w:r w:rsidRPr="005826BC">
          <w:rPr>
            <w:rStyle w:val="Hyperlink"/>
          </w:rPr>
          <w:t>242.140</w:t>
        </w:r>
        <w:r>
          <w:rPr>
            <w:rFonts w:asciiTheme="minorHAnsi" w:eastAsiaTheme="minorEastAsia" w:hAnsiTheme="minorHAnsi" w:cstheme="minorBidi"/>
            <w:kern w:val="2"/>
            <w:sz w:val="24"/>
            <w:szCs w:val="24"/>
            <w14:ligatures w14:val="standardContextual"/>
          </w:rPr>
          <w:tab/>
        </w:r>
        <w:r w:rsidRPr="005826BC">
          <w:rPr>
            <w:rStyle w:val="Hyperlink"/>
          </w:rPr>
          <w:t>Hyperalimentation Equipment and Supplies</w:t>
        </w:r>
      </w:hyperlink>
    </w:p>
    <w:p w14:paraId="7AF1C207" w14:textId="3A6663A7" w:rsidR="000F327C" w:rsidRDefault="000F327C">
      <w:pPr>
        <w:pStyle w:val="TOC2"/>
        <w:rPr>
          <w:rFonts w:asciiTheme="minorHAnsi" w:eastAsiaTheme="minorEastAsia" w:hAnsiTheme="minorHAnsi" w:cstheme="minorBidi"/>
          <w:kern w:val="2"/>
          <w:sz w:val="24"/>
          <w:szCs w:val="24"/>
          <w14:ligatures w14:val="standardContextual"/>
        </w:rPr>
      </w:pPr>
      <w:hyperlink w:anchor="_Toc199229751" w:history="1">
        <w:r w:rsidRPr="005826BC">
          <w:rPr>
            <w:rStyle w:val="Hyperlink"/>
          </w:rPr>
          <w:t>242.141</w:t>
        </w:r>
        <w:r>
          <w:rPr>
            <w:rFonts w:asciiTheme="minorHAnsi" w:eastAsiaTheme="minorEastAsia" w:hAnsiTheme="minorHAnsi" w:cstheme="minorBidi"/>
            <w:kern w:val="2"/>
            <w:sz w:val="24"/>
            <w:szCs w:val="24"/>
            <w14:ligatures w14:val="standardContextual"/>
          </w:rPr>
          <w:tab/>
        </w:r>
        <w:r w:rsidRPr="005826BC">
          <w:rPr>
            <w:rStyle w:val="Hyperlink"/>
          </w:rPr>
          <w:t>Equipment and Supplies for Parenteral Nutrition Therapy</w:t>
        </w:r>
      </w:hyperlink>
    </w:p>
    <w:p w14:paraId="27AD72AB" w14:textId="62560DA9" w:rsidR="000F327C" w:rsidRDefault="000F327C">
      <w:pPr>
        <w:pStyle w:val="TOC2"/>
        <w:rPr>
          <w:rFonts w:asciiTheme="minorHAnsi" w:eastAsiaTheme="minorEastAsia" w:hAnsiTheme="minorHAnsi" w:cstheme="minorBidi"/>
          <w:kern w:val="2"/>
          <w:sz w:val="24"/>
          <w:szCs w:val="24"/>
          <w14:ligatures w14:val="standardContextual"/>
        </w:rPr>
      </w:pPr>
      <w:hyperlink w:anchor="_Toc199229752" w:history="1">
        <w:r w:rsidRPr="005826BC">
          <w:rPr>
            <w:rStyle w:val="Hyperlink"/>
          </w:rPr>
          <w:t>242.142</w:t>
        </w:r>
        <w:r>
          <w:rPr>
            <w:rFonts w:asciiTheme="minorHAnsi" w:eastAsiaTheme="minorEastAsia" w:hAnsiTheme="minorHAnsi" w:cstheme="minorBidi"/>
            <w:kern w:val="2"/>
            <w:sz w:val="24"/>
            <w:szCs w:val="24"/>
            <w14:ligatures w14:val="standardContextual"/>
          </w:rPr>
          <w:tab/>
        </w:r>
        <w:r w:rsidRPr="005826BC">
          <w:rPr>
            <w:rStyle w:val="Hyperlink"/>
          </w:rPr>
          <w:t>Equipment and Supplies for Enteral (Sole Source) Nutrition Therapy</w:t>
        </w:r>
      </w:hyperlink>
    </w:p>
    <w:p w14:paraId="4414CD55" w14:textId="14D685EF" w:rsidR="000F327C" w:rsidRDefault="000F327C">
      <w:pPr>
        <w:pStyle w:val="TOC2"/>
        <w:rPr>
          <w:rFonts w:asciiTheme="minorHAnsi" w:eastAsiaTheme="minorEastAsia" w:hAnsiTheme="minorHAnsi" w:cstheme="minorBidi"/>
          <w:kern w:val="2"/>
          <w:sz w:val="24"/>
          <w:szCs w:val="24"/>
          <w14:ligatures w14:val="standardContextual"/>
        </w:rPr>
      </w:pPr>
      <w:hyperlink w:anchor="_Toc199229753" w:history="1">
        <w:r w:rsidRPr="005826BC">
          <w:rPr>
            <w:rStyle w:val="Hyperlink"/>
          </w:rPr>
          <w:t>242.143</w:t>
        </w:r>
        <w:r>
          <w:rPr>
            <w:rFonts w:asciiTheme="minorHAnsi" w:eastAsiaTheme="minorEastAsia" w:hAnsiTheme="minorHAnsi" w:cstheme="minorBidi"/>
            <w:kern w:val="2"/>
            <w:sz w:val="24"/>
            <w:szCs w:val="24"/>
            <w14:ligatures w14:val="standardContextual"/>
          </w:rPr>
          <w:tab/>
        </w:r>
        <w:r w:rsidRPr="005826BC">
          <w:rPr>
            <w:rStyle w:val="Hyperlink"/>
          </w:rPr>
          <w:t>Reimbursement for the Enteral (Sole Source) Nutrition Infusion Pump</w:t>
        </w:r>
      </w:hyperlink>
    </w:p>
    <w:p w14:paraId="6D160D18" w14:textId="29739FAD" w:rsidR="000F327C" w:rsidRDefault="000F327C">
      <w:pPr>
        <w:pStyle w:val="TOC2"/>
        <w:rPr>
          <w:rFonts w:asciiTheme="minorHAnsi" w:eastAsiaTheme="minorEastAsia" w:hAnsiTheme="minorHAnsi" w:cstheme="minorBidi"/>
          <w:kern w:val="2"/>
          <w:sz w:val="24"/>
          <w:szCs w:val="24"/>
          <w14:ligatures w14:val="standardContextual"/>
        </w:rPr>
      </w:pPr>
      <w:hyperlink w:anchor="_Toc199229754" w:history="1">
        <w:r w:rsidRPr="005826BC">
          <w:rPr>
            <w:rStyle w:val="Hyperlink"/>
          </w:rPr>
          <w:t>242.144</w:t>
        </w:r>
        <w:r>
          <w:rPr>
            <w:rFonts w:asciiTheme="minorHAnsi" w:eastAsiaTheme="minorEastAsia" w:hAnsiTheme="minorHAnsi" w:cstheme="minorBidi"/>
            <w:kern w:val="2"/>
            <w:sz w:val="24"/>
            <w:szCs w:val="24"/>
            <w14:ligatures w14:val="standardContextual"/>
          </w:rPr>
          <w:tab/>
        </w:r>
        <w:r w:rsidRPr="005826BC">
          <w:rPr>
            <w:rStyle w:val="Hyperlink"/>
          </w:rPr>
          <w:t>Reimbursement for the Enteral (Sole Source) Feeding Pump Supply Kit</w:t>
        </w:r>
      </w:hyperlink>
    </w:p>
    <w:p w14:paraId="02013C0C" w14:textId="425EBB86" w:rsidR="000F327C" w:rsidRDefault="000F327C">
      <w:pPr>
        <w:pStyle w:val="TOC2"/>
        <w:rPr>
          <w:rFonts w:asciiTheme="minorHAnsi" w:eastAsiaTheme="minorEastAsia" w:hAnsiTheme="minorHAnsi" w:cstheme="minorBidi"/>
          <w:kern w:val="2"/>
          <w:sz w:val="24"/>
          <w:szCs w:val="24"/>
          <w14:ligatures w14:val="standardContextual"/>
        </w:rPr>
      </w:pPr>
      <w:hyperlink w:anchor="_Toc199229755" w:history="1">
        <w:r w:rsidRPr="005826BC">
          <w:rPr>
            <w:rStyle w:val="Hyperlink"/>
          </w:rPr>
          <w:t>242.145</w:t>
        </w:r>
        <w:r>
          <w:rPr>
            <w:rFonts w:asciiTheme="minorHAnsi" w:eastAsiaTheme="minorEastAsia" w:hAnsiTheme="minorHAnsi" w:cstheme="minorBidi"/>
            <w:kern w:val="2"/>
            <w:sz w:val="24"/>
            <w:szCs w:val="24"/>
            <w14:ligatures w14:val="standardContextual"/>
          </w:rPr>
          <w:tab/>
        </w:r>
        <w:r w:rsidRPr="005826BC">
          <w:rPr>
            <w:rStyle w:val="Hyperlink"/>
          </w:rPr>
          <w:t>Equipment Repairs for the Enteral Nutrition Infusion Pump</w:t>
        </w:r>
      </w:hyperlink>
    </w:p>
    <w:p w14:paraId="04694240" w14:textId="6B428455" w:rsidR="000F327C" w:rsidRDefault="000F327C">
      <w:pPr>
        <w:pStyle w:val="TOC2"/>
        <w:rPr>
          <w:rFonts w:asciiTheme="minorHAnsi" w:eastAsiaTheme="minorEastAsia" w:hAnsiTheme="minorHAnsi" w:cstheme="minorBidi"/>
          <w:kern w:val="2"/>
          <w:sz w:val="24"/>
          <w:szCs w:val="24"/>
          <w14:ligatures w14:val="standardContextual"/>
        </w:rPr>
      </w:pPr>
      <w:hyperlink w:anchor="_Toc199229756" w:history="1">
        <w:r w:rsidRPr="005826BC">
          <w:rPr>
            <w:rStyle w:val="Hyperlink"/>
          </w:rPr>
          <w:t>242.200</w:t>
        </w:r>
        <w:r>
          <w:rPr>
            <w:rFonts w:asciiTheme="minorHAnsi" w:eastAsiaTheme="minorEastAsia" w:hAnsiTheme="minorHAnsi" w:cstheme="minorBidi"/>
            <w:kern w:val="2"/>
            <w:sz w:val="24"/>
            <w:szCs w:val="24"/>
            <w14:ligatures w14:val="standardContextual"/>
          </w:rPr>
          <w:tab/>
        </w:r>
        <w:r w:rsidRPr="005826BC">
          <w:rPr>
            <w:rStyle w:val="Hyperlink"/>
          </w:rPr>
          <w:t>National Place of Service (POS) Code</w:t>
        </w:r>
      </w:hyperlink>
    </w:p>
    <w:p w14:paraId="551F32F8" w14:textId="0F17BE93" w:rsidR="000F327C" w:rsidRDefault="000F327C">
      <w:pPr>
        <w:pStyle w:val="TOC2"/>
        <w:rPr>
          <w:rFonts w:asciiTheme="minorHAnsi" w:eastAsiaTheme="minorEastAsia" w:hAnsiTheme="minorHAnsi" w:cstheme="minorBidi"/>
          <w:kern w:val="2"/>
          <w:sz w:val="24"/>
          <w:szCs w:val="24"/>
          <w14:ligatures w14:val="standardContextual"/>
        </w:rPr>
      </w:pPr>
      <w:hyperlink w:anchor="_Toc199229757" w:history="1">
        <w:r w:rsidRPr="005826BC">
          <w:rPr>
            <w:rStyle w:val="Hyperlink"/>
          </w:rPr>
          <w:t>242.300</w:t>
        </w:r>
        <w:r>
          <w:rPr>
            <w:rFonts w:asciiTheme="minorHAnsi" w:eastAsiaTheme="minorEastAsia" w:hAnsiTheme="minorHAnsi" w:cstheme="minorBidi"/>
            <w:kern w:val="2"/>
            <w:sz w:val="24"/>
            <w:szCs w:val="24"/>
            <w14:ligatures w14:val="standardContextual"/>
          </w:rPr>
          <w:tab/>
        </w:r>
        <w:r w:rsidRPr="005826BC">
          <w:rPr>
            <w:rStyle w:val="Hyperlink"/>
          </w:rPr>
          <w:t>Billing Instructions – Paper Only</w:t>
        </w:r>
      </w:hyperlink>
    </w:p>
    <w:p w14:paraId="28F33AE3" w14:textId="44436787" w:rsidR="000F327C" w:rsidRDefault="000F327C">
      <w:pPr>
        <w:pStyle w:val="TOC2"/>
        <w:rPr>
          <w:rFonts w:asciiTheme="minorHAnsi" w:eastAsiaTheme="minorEastAsia" w:hAnsiTheme="minorHAnsi" w:cstheme="minorBidi"/>
          <w:kern w:val="2"/>
          <w:sz w:val="24"/>
          <w:szCs w:val="24"/>
          <w14:ligatures w14:val="standardContextual"/>
        </w:rPr>
      </w:pPr>
      <w:hyperlink w:anchor="_Toc199229758" w:history="1">
        <w:r w:rsidRPr="005826BC">
          <w:rPr>
            <w:rStyle w:val="Hyperlink"/>
          </w:rPr>
          <w:t>242.310</w:t>
        </w:r>
        <w:r>
          <w:rPr>
            <w:rFonts w:asciiTheme="minorHAnsi" w:eastAsiaTheme="minorEastAsia" w:hAnsiTheme="minorHAnsi" w:cstheme="minorBidi"/>
            <w:kern w:val="2"/>
            <w:sz w:val="24"/>
            <w:szCs w:val="24"/>
            <w14:ligatures w14:val="standardContextual"/>
          </w:rPr>
          <w:tab/>
        </w:r>
        <w:r w:rsidRPr="005826BC">
          <w:rPr>
            <w:rStyle w:val="Hyperlink"/>
          </w:rPr>
          <w:t>Completion of CMS-1500 Claim Form</w:t>
        </w:r>
      </w:hyperlink>
    </w:p>
    <w:p w14:paraId="1626E91D" w14:textId="133BDD1F" w:rsidR="000F327C" w:rsidRDefault="000F327C">
      <w:pPr>
        <w:pStyle w:val="TOC2"/>
        <w:rPr>
          <w:rFonts w:asciiTheme="minorHAnsi" w:eastAsiaTheme="minorEastAsia" w:hAnsiTheme="minorHAnsi" w:cstheme="minorBidi"/>
          <w:kern w:val="2"/>
          <w:sz w:val="24"/>
          <w:szCs w:val="24"/>
          <w14:ligatures w14:val="standardContextual"/>
        </w:rPr>
      </w:pPr>
      <w:hyperlink w:anchor="_Toc199229759" w:history="1">
        <w:r w:rsidRPr="005826BC">
          <w:rPr>
            <w:rStyle w:val="Hyperlink"/>
          </w:rPr>
          <w:t>242.400</w:t>
        </w:r>
        <w:r>
          <w:rPr>
            <w:rFonts w:asciiTheme="minorHAnsi" w:eastAsiaTheme="minorEastAsia" w:hAnsiTheme="minorHAnsi" w:cstheme="minorBidi"/>
            <w:kern w:val="2"/>
            <w:sz w:val="24"/>
            <w:szCs w:val="24"/>
            <w14:ligatures w14:val="standardContextual"/>
          </w:rPr>
          <w:tab/>
        </w:r>
        <w:r w:rsidRPr="005826BC">
          <w:rPr>
            <w:rStyle w:val="Hyperlink"/>
          </w:rPr>
          <w:t>Special Billing Procedures</w:t>
        </w:r>
      </w:hyperlink>
    </w:p>
    <w:p w14:paraId="6DC9BE6C" w14:textId="36083ACB" w:rsidR="000F327C" w:rsidRDefault="000F327C">
      <w:pPr>
        <w:pStyle w:val="TOC2"/>
        <w:rPr>
          <w:rFonts w:asciiTheme="minorHAnsi" w:eastAsiaTheme="minorEastAsia" w:hAnsiTheme="minorHAnsi" w:cstheme="minorBidi"/>
          <w:kern w:val="2"/>
          <w:sz w:val="24"/>
          <w:szCs w:val="24"/>
          <w14:ligatures w14:val="standardContextual"/>
        </w:rPr>
      </w:pPr>
      <w:hyperlink w:anchor="_Toc199229760" w:history="1">
        <w:r w:rsidRPr="005826BC">
          <w:rPr>
            <w:rStyle w:val="Hyperlink"/>
          </w:rPr>
          <w:t>242.401</w:t>
        </w:r>
        <w:r>
          <w:rPr>
            <w:rFonts w:asciiTheme="minorHAnsi" w:eastAsiaTheme="minorEastAsia" w:hAnsiTheme="minorHAnsi" w:cstheme="minorBidi"/>
            <w:kern w:val="2"/>
            <w:sz w:val="24"/>
            <w:szCs w:val="24"/>
            <w14:ligatures w14:val="standardContextual"/>
          </w:rPr>
          <w:tab/>
        </w:r>
        <w:r w:rsidRPr="005826BC">
          <w:rPr>
            <w:rStyle w:val="Hyperlink"/>
          </w:rPr>
          <w:t>National Drug Codes (NDCs)</w:t>
        </w:r>
      </w:hyperlink>
    </w:p>
    <w:p w14:paraId="6F9B1A9C" w14:textId="2B3E68B8" w:rsidR="000F327C" w:rsidRDefault="000F327C">
      <w:pPr>
        <w:pStyle w:val="TOC2"/>
        <w:rPr>
          <w:rFonts w:asciiTheme="minorHAnsi" w:eastAsiaTheme="minorEastAsia" w:hAnsiTheme="minorHAnsi" w:cstheme="minorBidi"/>
          <w:kern w:val="2"/>
          <w:sz w:val="24"/>
          <w:szCs w:val="24"/>
          <w14:ligatures w14:val="standardContextual"/>
        </w:rPr>
      </w:pPr>
      <w:hyperlink w:anchor="_Toc199229761" w:history="1">
        <w:r w:rsidRPr="005826BC">
          <w:rPr>
            <w:rStyle w:val="Hyperlink"/>
          </w:rPr>
          <w:t>242.402</w:t>
        </w:r>
        <w:r>
          <w:rPr>
            <w:rFonts w:asciiTheme="minorHAnsi" w:eastAsiaTheme="minorEastAsia" w:hAnsiTheme="minorHAnsi" w:cstheme="minorBidi"/>
            <w:kern w:val="2"/>
            <w:sz w:val="24"/>
            <w:szCs w:val="24"/>
            <w14:ligatures w14:val="standardContextual"/>
          </w:rPr>
          <w:tab/>
        </w:r>
        <w:r w:rsidRPr="005826BC">
          <w:rPr>
            <w:rStyle w:val="Hyperlink"/>
          </w:rPr>
          <w:t>Billing of Multi-Use and Single-Use Vials</w:t>
        </w:r>
      </w:hyperlink>
    </w:p>
    <w:p w14:paraId="49B2A26D" w14:textId="2C58C9BC" w:rsidR="004C0355" w:rsidRPr="000F327C" w:rsidRDefault="004C0355" w:rsidP="00157386">
      <w:pPr>
        <w:pStyle w:val="ctablespace"/>
      </w:pPr>
      <w:r w:rsidRPr="000F327C">
        <w:fldChar w:fldCharType="end"/>
      </w:r>
      <w:bookmarkEnd w:id="0"/>
    </w:p>
    <w:tbl>
      <w:tblPr>
        <w:tblW w:w="9360" w:type="dxa"/>
        <w:tblLook w:val="0000" w:firstRow="0" w:lastRow="0" w:firstColumn="0" w:lastColumn="0" w:noHBand="0" w:noVBand="0"/>
      </w:tblPr>
      <w:tblGrid>
        <w:gridCol w:w="8122"/>
        <w:gridCol w:w="1238"/>
      </w:tblGrid>
      <w:tr w:rsidR="004C0355" w:rsidRPr="000F327C" w14:paraId="648A9579" w14:textId="77777777" w:rsidTr="005311EF">
        <w:tblPrEx>
          <w:tblCellMar>
            <w:top w:w="0" w:type="dxa"/>
            <w:bottom w:w="0" w:type="dxa"/>
          </w:tblCellMar>
        </w:tblPrEx>
        <w:trPr>
          <w:cantSplit/>
        </w:trPr>
        <w:tc>
          <w:tcPr>
            <w:tcW w:w="8122" w:type="dxa"/>
            <w:shd w:val="clear" w:color="auto" w:fill="1D73D6"/>
          </w:tcPr>
          <w:p w14:paraId="650E175F" w14:textId="77777777" w:rsidR="004C0355" w:rsidRPr="000F327C" w:rsidRDefault="004C0355">
            <w:pPr>
              <w:pStyle w:val="chead1"/>
            </w:pPr>
            <w:bookmarkStart w:id="1" w:name="_Toc20534673"/>
            <w:bookmarkStart w:id="2" w:name="_Toc20534709"/>
            <w:bookmarkStart w:id="3" w:name="_Toc20537986"/>
            <w:bookmarkStart w:id="4" w:name="_Toc20534446"/>
            <w:bookmarkStart w:id="5" w:name="_Toc24252726"/>
            <w:bookmarkStart w:id="6" w:name="_Toc24443503"/>
            <w:bookmarkStart w:id="7" w:name="_Toc199229718"/>
            <w:r w:rsidRPr="000F327C">
              <w:t>200.000</w:t>
            </w:r>
            <w:r w:rsidRPr="000F327C">
              <w:tab/>
              <w:t>HYPERALIMENTATION GENERAL INFORMATION</w:t>
            </w:r>
            <w:bookmarkEnd w:id="1"/>
            <w:bookmarkEnd w:id="2"/>
            <w:bookmarkEnd w:id="3"/>
            <w:bookmarkEnd w:id="4"/>
            <w:bookmarkEnd w:id="5"/>
            <w:bookmarkEnd w:id="6"/>
            <w:bookmarkEnd w:id="7"/>
          </w:p>
        </w:tc>
        <w:tc>
          <w:tcPr>
            <w:tcW w:w="1238" w:type="dxa"/>
            <w:shd w:val="clear" w:color="auto" w:fill="1D73D6"/>
            <w:vAlign w:val="center"/>
          </w:tcPr>
          <w:p w14:paraId="68A3874D" w14:textId="77777777" w:rsidR="004C0355" w:rsidRPr="000F327C" w:rsidRDefault="004C0355">
            <w:pPr>
              <w:pStyle w:val="cDate1"/>
              <w:rPr>
                <w:bCs/>
              </w:rPr>
            </w:pPr>
          </w:p>
        </w:tc>
      </w:tr>
      <w:tr w:rsidR="004C0355" w:rsidRPr="000F327C" w14:paraId="2EB58E4B" w14:textId="77777777" w:rsidTr="0053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33953081" w14:textId="77777777" w:rsidR="004C0355" w:rsidRPr="000F327C" w:rsidRDefault="004C0355">
            <w:pPr>
              <w:pStyle w:val="chead2"/>
            </w:pPr>
            <w:bookmarkStart w:id="8" w:name="_Toc20537987"/>
            <w:bookmarkStart w:id="9" w:name="_Toc20534448"/>
            <w:bookmarkStart w:id="10" w:name="_Toc24252727"/>
            <w:bookmarkStart w:id="11" w:name="_Toc24443504"/>
            <w:bookmarkStart w:id="12" w:name="_Toc199229719"/>
            <w:r w:rsidRPr="000F327C">
              <w:t>201.000</w:t>
            </w:r>
            <w:r w:rsidRPr="000F327C">
              <w:tab/>
              <w:t>Introduction</w:t>
            </w:r>
            <w:bookmarkEnd w:id="8"/>
            <w:bookmarkEnd w:id="9"/>
            <w:bookmarkEnd w:id="10"/>
            <w:bookmarkEnd w:id="11"/>
            <w:bookmarkEnd w:id="12"/>
          </w:p>
        </w:tc>
        <w:tc>
          <w:tcPr>
            <w:tcW w:w="1238" w:type="dxa"/>
            <w:tcBorders>
              <w:top w:val="nil"/>
              <w:left w:val="single" w:sz="6" w:space="0" w:color="FFFFFF"/>
              <w:bottom w:val="single" w:sz="2" w:space="0" w:color="FFFFFF"/>
              <w:right w:val="single" w:sz="2" w:space="0" w:color="FFFFFF"/>
            </w:tcBorders>
          </w:tcPr>
          <w:p w14:paraId="7D728DC4" w14:textId="77777777" w:rsidR="004C0355" w:rsidRPr="000F327C" w:rsidRDefault="004C0355">
            <w:pPr>
              <w:pStyle w:val="cDate2"/>
            </w:pPr>
            <w:smartTag w:uri="urn:schemas-microsoft-com:office:smarttags" w:element="date">
              <w:smartTagPr>
                <w:attr w:name="Month" w:val="10"/>
                <w:attr w:name="Day" w:val="13"/>
                <w:attr w:name="Year" w:val="2003"/>
              </w:smartTagPr>
              <w:r w:rsidRPr="000F327C">
                <w:t>10-13-03</w:t>
              </w:r>
            </w:smartTag>
          </w:p>
        </w:tc>
      </w:tr>
    </w:tbl>
    <w:p w14:paraId="062090EA" w14:textId="77777777" w:rsidR="004C0355" w:rsidRPr="000F327C" w:rsidRDefault="004C0355">
      <w:pPr>
        <w:pStyle w:val="ctext"/>
      </w:pPr>
      <w:r w:rsidRPr="000F327C">
        <w:lastRenderedPageBreak/>
        <w:t>The following pages furnish detailed information regarding hyperalimentation services covered by Arkansas Medicaid.  Both parenteral and enteral (sole source) nutrition therapy services are covered under the Arkansas Medicaid Hyperalimentation Program.  In general, the term “hyperalimentation,” when referenced in this provider manual, refers to both parenteral and enteral (sole source) nutrition therapy.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E6CDA" w:rsidRPr="000F327C" w14:paraId="551600CA" w14:textId="77777777" w:rsidTr="00426F8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A64274B" w14:textId="77777777" w:rsidR="006E6CDA" w:rsidRPr="000F327C" w:rsidRDefault="006E6CDA" w:rsidP="00426F8B">
            <w:pPr>
              <w:pStyle w:val="chead2"/>
            </w:pPr>
            <w:bookmarkStart w:id="13" w:name="_Toc129071938"/>
            <w:bookmarkStart w:id="14" w:name="_Toc130806546"/>
            <w:bookmarkStart w:id="15" w:name="_Toc148240003"/>
            <w:bookmarkStart w:id="16" w:name="_Toc243715311"/>
            <w:bookmarkStart w:id="17" w:name="_Toc199229720"/>
            <w:r w:rsidRPr="000F327C">
              <w:t>202.000</w:t>
            </w:r>
            <w:r w:rsidRPr="000F327C">
              <w:tab/>
              <w:t>Arkansas Medicaid Participation Requirements for Hyperalimentation Providers</w:t>
            </w:r>
            <w:bookmarkEnd w:id="13"/>
            <w:bookmarkEnd w:id="14"/>
            <w:bookmarkEnd w:id="15"/>
            <w:bookmarkEnd w:id="16"/>
            <w:bookmarkEnd w:id="17"/>
            <w:r w:rsidRPr="000F327C">
              <w:t xml:space="preserve"> </w:t>
            </w:r>
          </w:p>
        </w:tc>
        <w:tc>
          <w:tcPr>
            <w:tcW w:w="1238" w:type="dxa"/>
            <w:tcBorders>
              <w:top w:val="single" w:sz="2" w:space="0" w:color="FFFFFF"/>
              <w:left w:val="single" w:sz="6" w:space="0" w:color="FFFFFF"/>
              <w:bottom w:val="single" w:sz="2" w:space="0" w:color="FFFFFF"/>
              <w:right w:val="single" w:sz="2" w:space="0" w:color="FFFFFF"/>
            </w:tcBorders>
          </w:tcPr>
          <w:p w14:paraId="5F442A42" w14:textId="77777777" w:rsidR="006E6CDA" w:rsidRPr="000F327C" w:rsidRDefault="006E6CDA" w:rsidP="00426F8B">
            <w:pPr>
              <w:pStyle w:val="cDate2"/>
            </w:pPr>
            <w:r w:rsidRPr="000F327C">
              <w:t>11-1-09</w:t>
            </w:r>
          </w:p>
        </w:tc>
      </w:tr>
    </w:tbl>
    <w:p w14:paraId="482924EB" w14:textId="77777777" w:rsidR="006E6CDA" w:rsidRPr="000F327C" w:rsidRDefault="006E6CDA" w:rsidP="006E6CDA">
      <w:pPr>
        <w:pStyle w:val="ctext"/>
      </w:pPr>
      <w:r w:rsidRPr="000F327C">
        <w:t>Parenteral and enteral (sole source) nutrition therapy services providers must meet the Provider Participation and enrollment requirements contained within Section 140.000 of this manual as well as the following criteria to be eligible for participation in the Arkansas Medicaid Program:</w:t>
      </w:r>
    </w:p>
    <w:p w14:paraId="6D7A158C" w14:textId="77777777" w:rsidR="006E6CDA" w:rsidRPr="000F327C" w:rsidRDefault="006E6CDA" w:rsidP="006E6CDA">
      <w:pPr>
        <w:pStyle w:val="ctext"/>
        <w:numPr>
          <w:ilvl w:val="0"/>
          <w:numId w:val="8"/>
        </w:numPr>
      </w:pPr>
      <w:r w:rsidRPr="000F327C">
        <w:t>The provider of parental nutrition must be licensed as a retail pharmacy by the Arkansas State Board of Pharmacy.  A copy of the provider’s current Arkansas Retail Pharmacy Permit must accompany the provider application and Medicaid contract.</w:t>
      </w:r>
    </w:p>
    <w:p w14:paraId="7F999551" w14:textId="77777777" w:rsidR="006E6CDA" w:rsidRPr="000F327C" w:rsidRDefault="006E6CDA" w:rsidP="006E6CDA">
      <w:pPr>
        <w:pStyle w:val="ctext"/>
        <w:numPr>
          <w:ilvl w:val="0"/>
          <w:numId w:val="8"/>
        </w:numPr>
      </w:pPr>
      <w:r w:rsidRPr="000F327C">
        <w:t>Providers of both parenteral and enteral nutrition must be enrolled in the Title XVIII (Medicare) Program to provide hyperalimentation services.  A copy of the Medicare letter of verification must accompany the application.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3F78" w:rsidRPr="000F327C" w14:paraId="7CBEDF6C" w14:textId="77777777" w:rsidTr="00223D3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2022F33" w14:textId="77777777" w:rsidR="00873F78" w:rsidRPr="000F327C" w:rsidRDefault="00873F78" w:rsidP="00276D78">
            <w:pPr>
              <w:pStyle w:val="chead2"/>
            </w:pPr>
            <w:bookmarkStart w:id="18" w:name="_Toc199229721"/>
            <w:r w:rsidRPr="000F327C">
              <w:t>202.100</w:t>
            </w:r>
            <w:r w:rsidRPr="000F327C">
              <w:tab/>
              <w:t>Hyperalimentation Providers in Arkansas and Bordering States</w:t>
            </w:r>
            <w:bookmarkEnd w:id="18"/>
          </w:p>
        </w:tc>
        <w:tc>
          <w:tcPr>
            <w:tcW w:w="1238" w:type="dxa"/>
            <w:tcBorders>
              <w:top w:val="single" w:sz="2" w:space="0" w:color="FFFFFF"/>
              <w:left w:val="single" w:sz="6" w:space="0" w:color="FFFFFF"/>
              <w:bottom w:val="single" w:sz="2" w:space="0" w:color="FFFFFF"/>
              <w:right w:val="single" w:sz="2" w:space="0" w:color="FFFFFF"/>
            </w:tcBorders>
          </w:tcPr>
          <w:p w14:paraId="68D98B38" w14:textId="77777777" w:rsidR="00873F78" w:rsidRPr="000F327C" w:rsidRDefault="00873F78" w:rsidP="00276D78">
            <w:pPr>
              <w:pStyle w:val="cDate2"/>
            </w:pPr>
            <w:r w:rsidRPr="000F327C">
              <w:t>9-1-14</w:t>
            </w:r>
          </w:p>
        </w:tc>
      </w:tr>
    </w:tbl>
    <w:p w14:paraId="418E2AA5" w14:textId="77777777" w:rsidR="00873F78" w:rsidRPr="000F327C" w:rsidRDefault="00873F78" w:rsidP="00873F78">
      <w:pPr>
        <w:spacing w:before="120" w:after="60"/>
        <w:ind w:left="360"/>
        <w:rPr>
          <w:sz w:val="21"/>
        </w:rPr>
      </w:pPr>
      <w:r w:rsidRPr="000F327C">
        <w:rPr>
          <w:sz w:val="21"/>
        </w:rPr>
        <w:t xml:space="preserve">Hyperalimentation providers in </w:t>
      </w:r>
      <w:smartTag w:uri="urn:schemas-microsoft-com:office:smarttags" w:element="PostalCode">
        <w:r w:rsidRPr="000F327C">
          <w:rPr>
            <w:sz w:val="21"/>
          </w:rPr>
          <w:t>Arkansas</w:t>
        </w:r>
      </w:smartTag>
      <w:r w:rsidRPr="000F327C">
        <w:rPr>
          <w:sz w:val="21"/>
        </w:rPr>
        <w:t xml:space="preserve"> and the six bordering states (</w:t>
      </w:r>
      <w:smartTag w:uri="urn:schemas-microsoft-com:office:smarttags" w:element="PostalCode">
        <w:r w:rsidRPr="000F327C">
          <w:rPr>
            <w:sz w:val="21"/>
          </w:rPr>
          <w:t>Louisiana</w:t>
        </w:r>
      </w:smartTag>
      <w:r w:rsidRPr="000F327C">
        <w:rPr>
          <w:sz w:val="21"/>
        </w:rPr>
        <w:t xml:space="preserve">, </w:t>
      </w:r>
      <w:smartTag w:uri="urn:schemas-microsoft-com:office:smarttags" w:element="PostalCode">
        <w:r w:rsidRPr="000F327C">
          <w:rPr>
            <w:sz w:val="21"/>
          </w:rPr>
          <w:t>Mississippi</w:t>
        </w:r>
      </w:smartTag>
      <w:r w:rsidRPr="000F327C">
        <w:rPr>
          <w:sz w:val="21"/>
        </w:rPr>
        <w:t xml:space="preserve">, </w:t>
      </w:r>
      <w:smartTag w:uri="urn:schemas-microsoft-com:office:smarttags" w:element="PostalCode">
        <w:r w:rsidRPr="000F327C">
          <w:rPr>
            <w:sz w:val="21"/>
          </w:rPr>
          <w:t>Missouri</w:t>
        </w:r>
      </w:smartTag>
      <w:r w:rsidRPr="000F327C">
        <w:rPr>
          <w:sz w:val="21"/>
        </w:rPr>
        <w:t xml:space="preserve">, </w:t>
      </w:r>
      <w:smartTag w:uri="urn:schemas-microsoft-com:office:smarttags" w:element="PostalCode">
        <w:r w:rsidRPr="000F327C">
          <w:rPr>
            <w:sz w:val="21"/>
          </w:rPr>
          <w:t>Oklahoma</w:t>
        </w:r>
      </w:smartTag>
      <w:r w:rsidRPr="000F327C">
        <w:rPr>
          <w:sz w:val="21"/>
        </w:rPr>
        <w:t xml:space="preserve">, </w:t>
      </w:r>
      <w:proofErr w:type="gramStart"/>
      <w:smartTag w:uri="urn:schemas-microsoft-com:office:smarttags" w:element="PostalCode">
        <w:r w:rsidRPr="000F327C">
          <w:rPr>
            <w:sz w:val="21"/>
          </w:rPr>
          <w:t>Tennessee</w:t>
        </w:r>
      </w:smartTag>
      <w:proofErr w:type="gramEnd"/>
      <w:r w:rsidRPr="000F327C">
        <w:rPr>
          <w:sz w:val="21"/>
        </w:rPr>
        <w:t xml:space="preserve"> and </w:t>
      </w:r>
      <w:smartTag w:uri="urn:schemas-microsoft-com:office:smarttags" w:element="PostalCode">
        <w:smartTag w:uri="urn:schemas-microsoft-com:office:smarttags" w:element="place">
          <w:r w:rsidRPr="000F327C">
            <w:rPr>
              <w:sz w:val="21"/>
            </w:rPr>
            <w:t>Texas</w:t>
          </w:r>
        </w:smartTag>
      </w:smartTag>
      <w:r w:rsidRPr="000F327C">
        <w:rPr>
          <w:sz w:val="21"/>
        </w:rPr>
        <w:t>) will be enrolled as routine services providers if they meet all Arkansas Medicaid participation requirements outlined above.</w:t>
      </w:r>
    </w:p>
    <w:p w14:paraId="0606D1E3" w14:textId="77777777" w:rsidR="00873F78" w:rsidRPr="000F327C" w:rsidRDefault="00873F78" w:rsidP="00873F78">
      <w:pPr>
        <w:spacing w:before="120" w:after="60"/>
        <w:ind w:left="360"/>
        <w:rPr>
          <w:sz w:val="21"/>
          <w:u w:val="single"/>
        </w:rPr>
      </w:pPr>
      <w:r w:rsidRPr="000F327C">
        <w:rPr>
          <w:sz w:val="21"/>
          <w:u w:val="single"/>
        </w:rPr>
        <w:t xml:space="preserve">Routine Services Provider </w:t>
      </w:r>
    </w:p>
    <w:p w14:paraId="4EAEB20D" w14:textId="77777777" w:rsidR="00873F78" w:rsidRPr="000F327C" w:rsidRDefault="00873F78" w:rsidP="00873F78">
      <w:pPr>
        <w:spacing w:before="100" w:after="100"/>
        <w:ind w:left="900" w:hanging="540"/>
        <w:rPr>
          <w:rFonts w:eastAsia="MS Mincho"/>
          <w:sz w:val="21"/>
        </w:rPr>
      </w:pPr>
      <w:r w:rsidRPr="000F327C">
        <w:rPr>
          <w:rFonts w:eastAsia="MS Mincho"/>
          <w:sz w:val="21"/>
        </w:rPr>
        <w:t>A.</w:t>
      </w:r>
      <w:r w:rsidRPr="000F327C">
        <w:rPr>
          <w:rFonts w:eastAsia="MS Mincho"/>
          <w:sz w:val="21"/>
        </w:rPr>
        <w:tab/>
        <w:t xml:space="preserve">Enrollment in the program as a regular provider of routine services.  </w:t>
      </w:r>
    </w:p>
    <w:p w14:paraId="1EF18C98" w14:textId="77777777" w:rsidR="00873F78" w:rsidRPr="000F327C" w:rsidRDefault="00873F78" w:rsidP="00873F78">
      <w:pPr>
        <w:spacing w:before="100" w:after="100"/>
        <w:ind w:left="900" w:hanging="540"/>
        <w:rPr>
          <w:rFonts w:eastAsia="MS Mincho"/>
          <w:sz w:val="21"/>
        </w:rPr>
      </w:pPr>
      <w:r w:rsidRPr="000F327C">
        <w:rPr>
          <w:rFonts w:eastAsia="MS Mincho"/>
          <w:sz w:val="21"/>
        </w:rPr>
        <w:t>B.</w:t>
      </w:r>
      <w:r w:rsidRPr="000F327C">
        <w:rPr>
          <w:rFonts w:eastAsia="MS Mincho"/>
          <w:sz w:val="21"/>
        </w:rPr>
        <w:tab/>
        <w:t xml:space="preserve">Reimbursement will be available for all services covered in the Arkansas Medicaid Program.  </w:t>
      </w:r>
    </w:p>
    <w:p w14:paraId="33AB5DF7" w14:textId="77777777" w:rsidR="00873F78" w:rsidRPr="000F327C" w:rsidRDefault="00873F78" w:rsidP="00873F78">
      <w:pPr>
        <w:spacing w:before="100" w:after="100"/>
        <w:ind w:left="900" w:hanging="540"/>
        <w:rPr>
          <w:rFonts w:eastAsia="MS Mincho"/>
          <w:sz w:val="21"/>
        </w:rPr>
      </w:pPr>
      <w:r w:rsidRPr="000F327C">
        <w:rPr>
          <w:rFonts w:eastAsia="MS Mincho"/>
          <w:sz w:val="21"/>
        </w:rPr>
        <w:t>C.</w:t>
      </w:r>
      <w:r w:rsidRPr="000F327C">
        <w:rPr>
          <w:rFonts w:eastAsia="MS Mincho"/>
          <w:sz w:val="21"/>
        </w:rPr>
        <w:tab/>
        <w:t>Claims must be filed according to the specifications in this manual.  This includes assignment of ICD and HCPCS codes for all services rendered.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26B3E" w:rsidRPr="000F327C" w14:paraId="40E160BF" w14:textId="77777777" w:rsidTr="001D1A6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0408FCA" w14:textId="77777777" w:rsidR="00026B3E" w:rsidRPr="000F327C" w:rsidRDefault="00026B3E" w:rsidP="001D1A61">
            <w:pPr>
              <w:pStyle w:val="chead2"/>
            </w:pPr>
            <w:bookmarkStart w:id="19" w:name="_Toc129071940"/>
            <w:bookmarkStart w:id="20" w:name="_Toc130806548"/>
            <w:bookmarkStart w:id="21" w:name="_Toc148240005"/>
            <w:bookmarkStart w:id="22" w:name="_Toc267395974"/>
            <w:bookmarkStart w:id="23" w:name="_Toc199229722"/>
            <w:r w:rsidRPr="000F327C">
              <w:t>202.200</w:t>
            </w:r>
            <w:r w:rsidRPr="000F327C">
              <w:tab/>
              <w:t>Hyperalimentation Providers Enrollment in States Not Bordering Arkansas</w:t>
            </w:r>
            <w:bookmarkEnd w:id="19"/>
            <w:bookmarkEnd w:id="20"/>
            <w:bookmarkEnd w:id="21"/>
            <w:bookmarkEnd w:id="22"/>
            <w:bookmarkEnd w:id="23"/>
          </w:p>
        </w:tc>
        <w:tc>
          <w:tcPr>
            <w:tcW w:w="1238" w:type="dxa"/>
            <w:tcBorders>
              <w:top w:val="single" w:sz="2" w:space="0" w:color="FFFFFF"/>
              <w:left w:val="single" w:sz="6" w:space="0" w:color="FFFFFF"/>
              <w:bottom w:val="single" w:sz="2" w:space="0" w:color="FFFFFF"/>
              <w:right w:val="single" w:sz="2" w:space="0" w:color="FFFFFF"/>
            </w:tcBorders>
          </w:tcPr>
          <w:p w14:paraId="57D92806" w14:textId="77777777" w:rsidR="00026B3E" w:rsidRPr="000F327C" w:rsidRDefault="00026B3E" w:rsidP="001D1A61">
            <w:pPr>
              <w:pStyle w:val="cDate2"/>
            </w:pPr>
            <w:r w:rsidRPr="000F327C">
              <w:t>3-1-11</w:t>
            </w:r>
          </w:p>
        </w:tc>
      </w:tr>
    </w:tbl>
    <w:p w14:paraId="21494ED0" w14:textId="77777777" w:rsidR="00026B3E" w:rsidRPr="000F327C" w:rsidRDefault="00026B3E" w:rsidP="00026B3E">
      <w:pPr>
        <w:pStyle w:val="CLETTERED"/>
        <w:rPr>
          <w:b/>
        </w:rPr>
      </w:pPr>
      <w:r w:rsidRPr="000F327C">
        <w:t>A.</w:t>
      </w:r>
      <w:r w:rsidRPr="000F327C">
        <w:tab/>
        <w:t xml:space="preserve">Providers in states not bordering Arkansas may enroll in Arkansas Medicaid as limited services providers only after they have provided services to an Arkansas Medicaid eligible beneficiary and have a claim or claims to file.  </w:t>
      </w:r>
    </w:p>
    <w:p w14:paraId="146149B9" w14:textId="2494ADA4" w:rsidR="00026B3E" w:rsidRPr="000F327C" w:rsidRDefault="00026B3E" w:rsidP="00026B3E">
      <w:pPr>
        <w:pStyle w:val="CLETTERED"/>
        <w:ind w:left="907" w:firstLine="0"/>
        <w:rPr>
          <w:b/>
        </w:rPr>
      </w:pPr>
      <w:r w:rsidRPr="000F327C">
        <w:t xml:space="preserve">To enroll, a non-bordering state provider must download an Arkansas Medicaid provider application and contract from the Arkansas Medicaid website and submit the application, contract and claim to Arkansas Medicaid Provider Enrollment.  A provider number will be assigned upon approval of the provider application and the Medicaid contract.  </w:t>
      </w:r>
      <w:hyperlink r:id="rId11" w:history="1">
        <w:r w:rsidRPr="000F327C">
          <w:rPr>
            <w:rStyle w:val="Hyperlink"/>
          </w:rPr>
          <w:t>View</w:t>
        </w:r>
        <w:r w:rsidRPr="000F327C">
          <w:rPr>
            <w:rStyle w:val="Hyperlink"/>
          </w:rPr>
          <w:t xml:space="preserve"> </w:t>
        </w:r>
        <w:r w:rsidRPr="000F327C">
          <w:rPr>
            <w:rStyle w:val="Hyperlink"/>
          </w:rPr>
          <w:t>or print the provider enrollment and contract package (Application Packet).</w:t>
        </w:r>
      </w:hyperlink>
      <w:r w:rsidRPr="000F327C">
        <w:t xml:space="preserve">  </w:t>
      </w:r>
      <w:hyperlink r:id="rId12" w:history="1">
        <w:r w:rsidR="000F327C" w:rsidRPr="000F327C">
          <w:rPr>
            <w:rStyle w:val="Hyperlink"/>
          </w:rPr>
          <w:t>View or print Provider Enrollment Unit Contact information.</w:t>
        </w:r>
      </w:hyperlink>
    </w:p>
    <w:p w14:paraId="7355EE9C" w14:textId="77777777" w:rsidR="00026B3E" w:rsidRPr="000F327C" w:rsidRDefault="00026B3E" w:rsidP="00026B3E">
      <w:pPr>
        <w:pStyle w:val="CLETTERED"/>
      </w:pPr>
      <w:r w:rsidRPr="000F327C">
        <w:t>B.</w:t>
      </w:r>
      <w:r w:rsidRPr="000F327C">
        <w:tab/>
        <w:t>Limited services providers remain enrolled for one year.</w:t>
      </w:r>
    </w:p>
    <w:p w14:paraId="42AFBD8C" w14:textId="77777777" w:rsidR="00026B3E" w:rsidRPr="000F327C" w:rsidRDefault="00026B3E" w:rsidP="00026B3E">
      <w:pPr>
        <w:pStyle w:val="cnumbered"/>
      </w:pPr>
      <w:r w:rsidRPr="000F327C">
        <w:t>1.</w:t>
      </w:r>
      <w:r w:rsidRPr="000F327C">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6B078CD5" w14:textId="77777777" w:rsidR="00026B3E" w:rsidRPr="000F327C" w:rsidRDefault="00026B3E" w:rsidP="00026B3E">
      <w:pPr>
        <w:pStyle w:val="cnumbered"/>
      </w:pPr>
      <w:r w:rsidRPr="000F327C">
        <w:t>2.</w:t>
      </w:r>
      <w:r w:rsidRPr="000F327C">
        <w:tab/>
        <w:t xml:space="preserve">During the enrollment period, the provider may file any subsequent claims directly </w:t>
      </w:r>
      <w:proofErr w:type="gramStart"/>
      <w:r w:rsidRPr="000F327C">
        <w:t>to</w:t>
      </w:r>
      <w:proofErr w:type="gramEnd"/>
      <w:r w:rsidRPr="000F327C">
        <w:t xml:space="preserve"> the Medicaid fiscal agent.</w:t>
      </w:r>
    </w:p>
    <w:p w14:paraId="1BB2B394" w14:textId="77777777" w:rsidR="00026B3E" w:rsidRPr="000F327C" w:rsidRDefault="00026B3E" w:rsidP="00026B3E">
      <w:pPr>
        <w:pStyle w:val="cnumbered"/>
      </w:pPr>
      <w:r w:rsidRPr="000F327C">
        <w:lastRenderedPageBreak/>
        <w:t>3.</w:t>
      </w:r>
      <w:r w:rsidRPr="000F327C">
        <w:tab/>
        <w:t>Limited services providers are strongly encouraged to file subsequent claims through the Arkansas Medicaid website because the front-end processing of web-based claims ensures prompt adjudication and facilitates reimbursement.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D24585" w:rsidRPr="000F327C" w14:paraId="17CEE360" w14:textId="77777777" w:rsidTr="00E010CE">
        <w:trPr>
          <w:cantSplit/>
        </w:trPr>
        <w:tc>
          <w:tcPr>
            <w:tcW w:w="8122" w:type="dxa"/>
            <w:tcBorders>
              <w:top w:val="single" w:sz="2" w:space="0" w:color="FFFFFF"/>
              <w:left w:val="single" w:sz="2" w:space="0" w:color="FFFFFF"/>
              <w:bottom w:val="single" w:sz="2" w:space="0" w:color="FFFFFF"/>
              <w:right w:val="single" w:sz="6" w:space="0" w:color="FFFFFF"/>
            </w:tcBorders>
          </w:tcPr>
          <w:p w14:paraId="319FF355" w14:textId="77777777" w:rsidR="00D24585" w:rsidRPr="000F327C" w:rsidRDefault="00D24585" w:rsidP="00E010CE">
            <w:pPr>
              <w:pStyle w:val="chead2"/>
            </w:pPr>
            <w:bookmarkStart w:id="24" w:name="_Toc101693014"/>
            <w:bookmarkStart w:id="25" w:name="_Toc105925646"/>
            <w:bookmarkStart w:id="26" w:name="_Toc276382231"/>
            <w:bookmarkStart w:id="27" w:name="_Toc199229723"/>
            <w:r w:rsidRPr="000F327C">
              <w:rPr>
                <w:rFonts w:eastAsia="MS Mincho"/>
              </w:rPr>
              <w:t>202.300</w:t>
            </w:r>
            <w:r w:rsidRPr="000F327C">
              <w:tab/>
            </w:r>
            <w:r w:rsidRPr="000F327C">
              <w:rPr>
                <w:rFonts w:eastAsia="MS Mincho"/>
              </w:rPr>
              <w:t>Electronic Signatures</w:t>
            </w:r>
            <w:bookmarkEnd w:id="24"/>
            <w:bookmarkEnd w:id="25"/>
            <w:bookmarkEnd w:id="26"/>
            <w:bookmarkEnd w:id="27"/>
          </w:p>
        </w:tc>
        <w:tc>
          <w:tcPr>
            <w:tcW w:w="1238" w:type="dxa"/>
            <w:tcBorders>
              <w:top w:val="single" w:sz="2" w:space="0" w:color="FFFFFF"/>
              <w:left w:val="single" w:sz="6" w:space="0" w:color="FFFFFF"/>
              <w:bottom w:val="single" w:sz="2" w:space="0" w:color="FFFFFF"/>
              <w:right w:val="single" w:sz="2" w:space="0" w:color="FFFFFF"/>
            </w:tcBorders>
          </w:tcPr>
          <w:p w14:paraId="6046D10E" w14:textId="77777777" w:rsidR="00D24585" w:rsidRPr="000F327C" w:rsidRDefault="00D24585" w:rsidP="00E010CE">
            <w:pPr>
              <w:pStyle w:val="cDate2"/>
            </w:pPr>
            <w:r w:rsidRPr="000F327C">
              <w:t>10-8-10</w:t>
            </w:r>
          </w:p>
        </w:tc>
      </w:tr>
    </w:tbl>
    <w:p w14:paraId="76F592D1" w14:textId="77777777" w:rsidR="00B17286" w:rsidRPr="000F327C" w:rsidRDefault="00D24585" w:rsidP="00777FB3">
      <w:pPr>
        <w:pStyle w:val="ctext"/>
      </w:pPr>
      <w:r w:rsidRPr="000F327C">
        <w:t xml:space="preserve">Medicaid will accept electronic signatures provided the electronic signatures comply with </w:t>
      </w:r>
      <w:r w:rsidR="00777FB3" w:rsidRPr="000F327C">
        <w:t>Arkansas Code § 25-31-103 et seq</w:t>
      </w:r>
      <w:r w:rsidRPr="000F327C">
        <w:t>.</w:t>
      </w:r>
    </w:p>
    <w:p w14:paraId="460E5DED" w14:textId="77777777" w:rsidR="00B17286" w:rsidRPr="000F327C" w:rsidRDefault="00B17286"/>
    <w:tbl>
      <w:tblPr>
        <w:tblW w:w="9360" w:type="dxa"/>
        <w:tblLook w:val="0000" w:firstRow="0" w:lastRow="0" w:firstColumn="0" w:lastColumn="0" w:noHBand="0" w:noVBand="0"/>
      </w:tblPr>
      <w:tblGrid>
        <w:gridCol w:w="8122"/>
        <w:gridCol w:w="1238"/>
      </w:tblGrid>
      <w:tr w:rsidR="004C0355" w:rsidRPr="000F327C" w14:paraId="250FBF01" w14:textId="77777777" w:rsidTr="005311EF">
        <w:tblPrEx>
          <w:tblCellMar>
            <w:top w:w="0" w:type="dxa"/>
            <w:bottom w:w="0" w:type="dxa"/>
          </w:tblCellMar>
        </w:tblPrEx>
        <w:trPr>
          <w:cantSplit/>
        </w:trPr>
        <w:tc>
          <w:tcPr>
            <w:tcW w:w="8122" w:type="dxa"/>
            <w:shd w:val="clear" w:color="auto" w:fill="1D73D6"/>
          </w:tcPr>
          <w:p w14:paraId="30362CA2" w14:textId="77777777" w:rsidR="004C0355" w:rsidRPr="000F327C" w:rsidRDefault="004C0355">
            <w:pPr>
              <w:pStyle w:val="chead1"/>
            </w:pPr>
            <w:bookmarkStart w:id="28" w:name="_Toc199229724"/>
            <w:r w:rsidRPr="000F327C">
              <w:t>210.000</w:t>
            </w:r>
            <w:r w:rsidRPr="000F327C">
              <w:tab/>
              <w:t>PROGRAM COVERAGE</w:t>
            </w:r>
            <w:bookmarkEnd w:id="28"/>
          </w:p>
        </w:tc>
        <w:tc>
          <w:tcPr>
            <w:tcW w:w="1238" w:type="dxa"/>
            <w:shd w:val="clear" w:color="auto" w:fill="1D73D6"/>
            <w:vAlign w:val="center"/>
          </w:tcPr>
          <w:p w14:paraId="295B0D08" w14:textId="77777777" w:rsidR="004C0355" w:rsidRPr="000F327C" w:rsidRDefault="004C0355">
            <w:pPr>
              <w:pStyle w:val="cDate1"/>
              <w:rPr>
                <w:bCs/>
              </w:rPr>
            </w:pPr>
          </w:p>
        </w:tc>
      </w:tr>
      <w:tr w:rsidR="002E738F" w:rsidRPr="000F327C" w14:paraId="29921E15" w14:textId="77777777" w:rsidTr="00563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681F4DB2" w14:textId="77777777" w:rsidR="002E738F" w:rsidRPr="000F327C" w:rsidRDefault="002E738F" w:rsidP="005631F1">
            <w:pPr>
              <w:pStyle w:val="chead2"/>
            </w:pPr>
            <w:bookmarkStart w:id="29" w:name="_Toc199229725"/>
            <w:r w:rsidRPr="000F327C">
              <w:t>211.000</w:t>
            </w:r>
            <w:r w:rsidRPr="000F327C">
              <w:tab/>
              <w:t>Introduction</w:t>
            </w:r>
            <w:bookmarkEnd w:id="29"/>
          </w:p>
        </w:tc>
        <w:tc>
          <w:tcPr>
            <w:tcW w:w="1238" w:type="dxa"/>
            <w:tcBorders>
              <w:top w:val="nil"/>
              <w:left w:val="single" w:sz="6" w:space="0" w:color="FFFFFF"/>
              <w:bottom w:val="single" w:sz="2" w:space="0" w:color="FFFFFF"/>
              <w:right w:val="single" w:sz="2" w:space="0" w:color="FFFFFF"/>
            </w:tcBorders>
          </w:tcPr>
          <w:p w14:paraId="13F498AF" w14:textId="77777777" w:rsidR="002E738F" w:rsidRPr="000F327C" w:rsidRDefault="002E738F" w:rsidP="005631F1">
            <w:pPr>
              <w:pStyle w:val="cDate2"/>
            </w:pPr>
            <w:smartTag w:uri="urn:schemas-microsoft-com:office:smarttags" w:element="date">
              <w:smartTagPr>
                <w:attr w:name="Month" w:val="10"/>
                <w:attr w:name="Day" w:val="13"/>
                <w:attr w:name="Year" w:val="2003"/>
              </w:smartTagPr>
              <w:r w:rsidRPr="000F327C">
                <w:t>10-13-03</w:t>
              </w:r>
            </w:smartTag>
          </w:p>
        </w:tc>
      </w:tr>
    </w:tbl>
    <w:p w14:paraId="6598E16B" w14:textId="77777777" w:rsidR="002E738F" w:rsidRPr="000F327C" w:rsidRDefault="002E738F" w:rsidP="002E738F">
      <w:pPr>
        <w:pStyle w:val="ctext"/>
      </w:pPr>
      <w:r w:rsidRPr="000F327C">
        <w:t>Medicaid is designed to assist eligible Medicaid beneficiaries in obtaining medical care within the guidelines specified in Section I of this manual.  Fluids, equipment and supplies necessary for the administration of the fluids in the beneficiary’s home for parenteral and enteral (sole source) nutrition therapy are covered by Medicaid under the Hyperalimentation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A23FA" w:rsidRPr="000F327C" w14:paraId="553E8BFE" w14:textId="77777777" w:rsidTr="003467D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50CC540" w14:textId="77777777" w:rsidR="000A23FA" w:rsidRPr="000F327C" w:rsidRDefault="000A23FA" w:rsidP="003467DE">
            <w:pPr>
              <w:pStyle w:val="chead2"/>
            </w:pPr>
            <w:bookmarkStart w:id="30" w:name="_Toc129071943"/>
            <w:bookmarkStart w:id="31" w:name="_Toc130806551"/>
            <w:bookmarkStart w:id="32" w:name="_Toc148240008"/>
            <w:bookmarkStart w:id="33" w:name="_Toc199229726"/>
            <w:r w:rsidRPr="000F327C">
              <w:t>212.000</w:t>
            </w:r>
            <w:r w:rsidRPr="000F327C">
              <w:tab/>
              <w:t>Scope</w:t>
            </w:r>
            <w:bookmarkEnd w:id="30"/>
            <w:bookmarkEnd w:id="31"/>
            <w:bookmarkEnd w:id="32"/>
            <w:bookmarkEnd w:id="33"/>
          </w:p>
        </w:tc>
        <w:tc>
          <w:tcPr>
            <w:tcW w:w="1238" w:type="dxa"/>
            <w:tcBorders>
              <w:top w:val="single" w:sz="2" w:space="0" w:color="FFFFFF"/>
              <w:left w:val="single" w:sz="6" w:space="0" w:color="FFFFFF"/>
              <w:bottom w:val="single" w:sz="2" w:space="0" w:color="FFFFFF"/>
              <w:right w:val="single" w:sz="2" w:space="0" w:color="FFFFFF"/>
            </w:tcBorders>
          </w:tcPr>
          <w:p w14:paraId="45F7F9FF" w14:textId="77777777" w:rsidR="000A23FA" w:rsidRPr="000F327C" w:rsidRDefault="000A23FA" w:rsidP="003467DE">
            <w:pPr>
              <w:pStyle w:val="cDate2"/>
            </w:pPr>
            <w:r w:rsidRPr="000F327C">
              <w:t>6-7-10</w:t>
            </w:r>
          </w:p>
        </w:tc>
      </w:tr>
    </w:tbl>
    <w:p w14:paraId="5B8D7FBD" w14:textId="77777777" w:rsidR="000A23FA" w:rsidRPr="000F327C" w:rsidRDefault="000A23FA" w:rsidP="000A23FA">
      <w:pPr>
        <w:pStyle w:val="ctext"/>
      </w:pPr>
      <w:r w:rsidRPr="000F327C">
        <w:t xml:space="preserve">Hyperalimentation services are provided to beneficiaries at their place of residence.  “Place of residence” is defined as the beneficiary’s own dwelling, an apartment, a relative’s </w:t>
      </w:r>
      <w:proofErr w:type="gramStart"/>
      <w:r w:rsidRPr="000F327C">
        <w:t>home</w:t>
      </w:r>
      <w:proofErr w:type="gramEnd"/>
      <w:r w:rsidRPr="000F327C">
        <w:t xml:space="preserve"> or a boarding home.  Hyperalimentation services in the beneficiary’s place of residence may be covered only when the therapy is determined to be medically necessary for the patient and is prescribed by a physician.</w:t>
      </w:r>
    </w:p>
    <w:p w14:paraId="5E6A6826" w14:textId="77777777" w:rsidR="000A23FA" w:rsidRPr="000F327C" w:rsidRDefault="000A23FA" w:rsidP="000A23FA">
      <w:pPr>
        <w:pStyle w:val="ctext"/>
      </w:pPr>
      <w:r w:rsidRPr="000F327C">
        <w:t xml:space="preserve">Hospitalization is required to initiate parenteral and enteral, sole source nutrition. </w:t>
      </w:r>
    </w:p>
    <w:p w14:paraId="332A68A0" w14:textId="77777777" w:rsidR="000A23FA" w:rsidRPr="000F327C" w:rsidRDefault="000A23FA" w:rsidP="000A23FA">
      <w:pPr>
        <w:pStyle w:val="ctext"/>
      </w:pPr>
      <w:r w:rsidRPr="000F327C">
        <w:t xml:space="preserve">Enteral (sole source) nutrition therapy must meet the criteria listed above </w:t>
      </w:r>
      <w:r w:rsidRPr="000F327C">
        <w:rPr>
          <w:u w:val="single"/>
        </w:rPr>
        <w:t>and</w:t>
      </w:r>
      <w:r w:rsidRPr="000F327C">
        <w:t xml:space="preserve"> be the sole source of nutrition </w:t>
      </w:r>
      <w:proofErr w:type="gramStart"/>
      <w:r w:rsidRPr="000F327C">
        <w:t>in order to</w:t>
      </w:r>
      <w:proofErr w:type="gramEnd"/>
      <w:r w:rsidRPr="000F327C">
        <w:t xml:space="preserve"> be covered by Medicaid.</w:t>
      </w:r>
    </w:p>
    <w:p w14:paraId="7CFC8E66" w14:textId="215437A5" w:rsidR="000A23FA" w:rsidRPr="000F327C" w:rsidRDefault="000A23FA" w:rsidP="000A23FA">
      <w:pPr>
        <w:pStyle w:val="ctext"/>
      </w:pPr>
      <w:r w:rsidRPr="000F327C">
        <w:t xml:space="preserve">The request for prior authorization for therapy must be submitted on the form DMS-2615.  </w:t>
      </w:r>
      <w:hyperlink r:id="rId13" w:history="1">
        <w:r w:rsidRPr="000F327C">
          <w:rPr>
            <w:rStyle w:val="Hyperlink"/>
          </w:rPr>
          <w:t>View or print form DMS-2615 and instruct</w:t>
        </w:r>
        <w:r w:rsidRPr="000F327C">
          <w:rPr>
            <w:rStyle w:val="Hyperlink"/>
          </w:rPr>
          <w:t>i</w:t>
        </w:r>
        <w:r w:rsidRPr="000F327C">
          <w:rPr>
            <w:rStyle w:val="Hyperlink"/>
          </w:rPr>
          <w:t>ons for completion.</w:t>
        </w:r>
      </w:hyperlink>
      <w:r w:rsidRPr="000F327C">
        <w:t xml:space="preserve">  The prescribing physician must document the beneficiary’s diagnosis and brief medical history that supports the medical necessity of the requested nutritional therapy services.  The prescription must specify the frequency, the route, the product name, </w:t>
      </w:r>
      <w:proofErr w:type="gramStart"/>
      <w:r w:rsidRPr="000F327C">
        <w:t>volume</w:t>
      </w:r>
      <w:proofErr w:type="gramEnd"/>
      <w:r w:rsidRPr="000F327C">
        <w:t xml:space="preserve"> and duration of the requested nutritional therapy.</w:t>
      </w:r>
    </w:p>
    <w:p w14:paraId="7FEFDBCF" w14:textId="77777777" w:rsidR="000A23FA" w:rsidRPr="000F327C" w:rsidRDefault="000A23FA" w:rsidP="000A23FA">
      <w:pPr>
        <w:pStyle w:val="ctext"/>
      </w:pPr>
      <w:r w:rsidRPr="000F327C">
        <w:t xml:space="preserve">Documentation describing the beneficiary’s or caregiver’s training in catheter care; solution preparation and infusion technique to ensure the prescribed therapy can be provided safely and effectively in the beneficiary’s place of residence must be available upon request. </w:t>
      </w:r>
      <w:r w:rsidR="00E834E5" w:rsidRPr="000F327C">
        <w:t xml:space="preserve"> </w:t>
      </w:r>
      <w:r w:rsidRPr="000F327C">
        <w:rPr>
          <w:noProof/>
        </w:rPr>
        <w:t>Hospital records documenting the initiation of parenteral or enteral sole source nutrition must be submitted with the initial prior authorization request for these services.</w:t>
      </w:r>
    </w:p>
    <w:p w14:paraId="2FD07EAC" w14:textId="77777777" w:rsidR="00B17286" w:rsidRPr="000F327C" w:rsidRDefault="000A23FA" w:rsidP="000A23FA">
      <w:pPr>
        <w:pStyle w:val="ctext"/>
      </w:pPr>
      <w:r w:rsidRPr="000F327C">
        <w:t xml:space="preserve">The Arkansas Medicaid Program does not cover </w:t>
      </w:r>
      <w:proofErr w:type="gramStart"/>
      <w:r w:rsidRPr="000F327C">
        <w:rPr>
          <w:u w:val="single"/>
        </w:rPr>
        <w:t>enteral</w:t>
      </w:r>
      <w:proofErr w:type="gramEnd"/>
      <w:r w:rsidRPr="000F327C">
        <w:rPr>
          <w:u w:val="single"/>
        </w:rPr>
        <w:t xml:space="preserve"> (sole source) nutrition therapy</w:t>
      </w:r>
      <w:r w:rsidRPr="000F327C">
        <w:t xml:space="preserve"> hyperalimentation services for patients residing in a </w:t>
      </w:r>
      <w:proofErr w:type="gramStart"/>
      <w:r w:rsidRPr="000F327C">
        <w:t>long term</w:t>
      </w:r>
      <w:proofErr w:type="gramEnd"/>
      <w:r w:rsidRPr="000F327C">
        <w:t xml:space="preserve"> care facility.  Enteral (sole source) nutrition therapy services are included in the per diem amount paid to long term care facilities.  Arkansas Medicaid does cover </w:t>
      </w:r>
      <w:r w:rsidRPr="000F327C">
        <w:rPr>
          <w:u w:val="single"/>
        </w:rPr>
        <w:t>parenteral nutrition therapy</w:t>
      </w:r>
      <w:r w:rsidRPr="000F327C">
        <w:t xml:space="preserve"> services through the Hyperalimentation Program for long term care facility residents.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17286" w:rsidRPr="000F327C" w14:paraId="0FE928B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C986AAB" w14:textId="77777777" w:rsidR="00B17286" w:rsidRPr="000F327C" w:rsidRDefault="00B17286" w:rsidP="003C6D3B">
            <w:pPr>
              <w:pStyle w:val="chead2"/>
            </w:pPr>
            <w:bookmarkStart w:id="34" w:name="_Toc129071944"/>
            <w:bookmarkStart w:id="35" w:name="_Toc130806552"/>
            <w:bookmarkStart w:id="36" w:name="_Toc148240009"/>
            <w:bookmarkStart w:id="37" w:name="_Toc199229727"/>
            <w:r w:rsidRPr="000F327C">
              <w:t>213.000</w:t>
            </w:r>
            <w:r w:rsidRPr="000F327C">
              <w:tab/>
              <w:t>Coverage of Parenteral Hyperalimentation Services/Benefit Limits</w:t>
            </w:r>
            <w:bookmarkEnd w:id="34"/>
            <w:bookmarkEnd w:id="35"/>
            <w:bookmarkEnd w:id="36"/>
            <w:bookmarkEnd w:id="37"/>
          </w:p>
        </w:tc>
        <w:tc>
          <w:tcPr>
            <w:tcW w:w="1238" w:type="dxa"/>
            <w:tcBorders>
              <w:top w:val="single" w:sz="2" w:space="0" w:color="FFFFFF"/>
              <w:left w:val="single" w:sz="6" w:space="0" w:color="FFFFFF"/>
              <w:bottom w:val="single" w:sz="2" w:space="0" w:color="FFFFFF"/>
              <w:right w:val="single" w:sz="2" w:space="0" w:color="FFFFFF"/>
            </w:tcBorders>
          </w:tcPr>
          <w:p w14:paraId="2E410853" w14:textId="77777777" w:rsidR="00B17286" w:rsidRPr="000F327C" w:rsidRDefault="00B17286" w:rsidP="003C6D3B">
            <w:pPr>
              <w:pStyle w:val="cDate2"/>
            </w:pPr>
            <w:smartTag w:uri="urn:schemas-microsoft-com:office:smarttags" w:element="date">
              <w:smartTagPr>
                <w:attr w:name="Month" w:val="10"/>
                <w:attr w:name="Day" w:val="1"/>
                <w:attr w:name="Year" w:val="2006"/>
              </w:smartTagPr>
              <w:r w:rsidRPr="000F327C">
                <w:t>10-1-06</w:t>
              </w:r>
            </w:smartTag>
          </w:p>
        </w:tc>
      </w:tr>
    </w:tbl>
    <w:p w14:paraId="7ECB3EFA" w14:textId="77777777" w:rsidR="00B17286" w:rsidRPr="000F327C" w:rsidRDefault="00B17286" w:rsidP="00B17286">
      <w:pPr>
        <w:pStyle w:val="ctext"/>
      </w:pPr>
      <w:r w:rsidRPr="000F327C">
        <w:t xml:space="preserve">Daily parenteral nutrition is considered medically necessary for a patient with severe pathology of the alimentary </w:t>
      </w:r>
      <w:proofErr w:type="gramStart"/>
      <w:r w:rsidRPr="000F327C">
        <w:t>tract  that</w:t>
      </w:r>
      <w:proofErr w:type="gramEnd"/>
      <w:r w:rsidRPr="000F327C">
        <w:t xml:space="preserve"> does not allow absorption of sufficient nutrients to maintain weight and strength commensurate with the patient’s general condition.</w:t>
      </w:r>
    </w:p>
    <w:p w14:paraId="563C08DC" w14:textId="77777777" w:rsidR="00B17286" w:rsidRPr="000F327C" w:rsidRDefault="00B17286" w:rsidP="00B17286">
      <w:pPr>
        <w:pStyle w:val="ctext"/>
        <w:rPr>
          <w:b/>
        </w:rPr>
      </w:pPr>
      <w:r w:rsidRPr="000F327C">
        <w:t xml:space="preserve">Hyperalimentation is </w:t>
      </w:r>
      <w:proofErr w:type="gramStart"/>
      <w:r w:rsidRPr="000F327C">
        <w:t>delivery</w:t>
      </w:r>
      <w:proofErr w:type="gramEnd"/>
      <w:r w:rsidRPr="000F327C">
        <w:t xml:space="preserve"> of nutrients through a central venous line.  </w:t>
      </w:r>
      <w:r w:rsidRPr="000F327C">
        <w:rPr>
          <w:b/>
        </w:rPr>
        <w:t>Hyperalimentation is not a covered service when delivered through a peripheral IV.</w:t>
      </w:r>
    </w:p>
    <w:p w14:paraId="582CCC7E" w14:textId="77777777" w:rsidR="00B17286" w:rsidRPr="000F327C" w:rsidRDefault="00B17286" w:rsidP="00B17286">
      <w:pPr>
        <w:pStyle w:val="CLETTERED"/>
        <w:ind w:left="360" w:firstLine="0"/>
      </w:pPr>
      <w:r w:rsidRPr="000F327C">
        <w:lastRenderedPageBreak/>
        <w:t xml:space="preserve">Coverage of parenteral nutrition therapy must be prior approved.  Each request will be reviewed on a </w:t>
      </w:r>
      <w:proofErr w:type="gramStart"/>
      <w:r w:rsidRPr="000F327C">
        <w:t>case by case</w:t>
      </w:r>
      <w:proofErr w:type="gramEnd"/>
      <w:r w:rsidRPr="000F327C">
        <w:t xml:space="preserve"> basis.  Some medical conditions that frequently cause severe nutritional deficiency, </w:t>
      </w:r>
      <w:proofErr w:type="gramStart"/>
      <w:r w:rsidRPr="000F327C">
        <w:t>in spite of</w:t>
      </w:r>
      <w:proofErr w:type="gramEnd"/>
      <w:r w:rsidRPr="000F327C">
        <w:t xml:space="preserve"> adequate oral intake, and result in the use of parenteral nutrition are:</w:t>
      </w:r>
    </w:p>
    <w:p w14:paraId="49ADDF2E" w14:textId="77777777" w:rsidR="00B17286" w:rsidRPr="000F327C" w:rsidRDefault="00B17286" w:rsidP="00B17286">
      <w:pPr>
        <w:pStyle w:val="CLETTERED"/>
      </w:pPr>
      <w:r w:rsidRPr="000F327C">
        <w:t>A.</w:t>
      </w:r>
      <w:r w:rsidRPr="000F327C">
        <w:tab/>
        <w:t>Short bowel syndrome</w:t>
      </w:r>
    </w:p>
    <w:p w14:paraId="2E57C6A6" w14:textId="77777777" w:rsidR="00B17286" w:rsidRPr="000F327C" w:rsidRDefault="00B17286" w:rsidP="00B17286">
      <w:pPr>
        <w:pStyle w:val="CLETTERED"/>
      </w:pPr>
      <w:r w:rsidRPr="000F327C">
        <w:t>B.</w:t>
      </w:r>
      <w:r w:rsidRPr="000F327C">
        <w:tab/>
        <w:t>Intestinal obstruction</w:t>
      </w:r>
    </w:p>
    <w:p w14:paraId="786C8719" w14:textId="77777777" w:rsidR="00B17286" w:rsidRPr="000F327C" w:rsidRDefault="00B17286" w:rsidP="00B17286">
      <w:pPr>
        <w:pStyle w:val="CLETTERED"/>
      </w:pPr>
      <w:r w:rsidRPr="000F327C">
        <w:t>C.</w:t>
      </w:r>
      <w:r w:rsidRPr="000F327C">
        <w:tab/>
        <w:t>Inflammatory bowel disease including ulcerative colitis and Crohn’s disease</w:t>
      </w:r>
    </w:p>
    <w:p w14:paraId="7687BE25" w14:textId="77777777" w:rsidR="00B17286" w:rsidRPr="000F327C" w:rsidRDefault="00B17286" w:rsidP="00B17286">
      <w:pPr>
        <w:pStyle w:val="CLETTERED"/>
      </w:pPr>
      <w:r w:rsidRPr="000F327C">
        <w:t>D.</w:t>
      </w:r>
      <w:r w:rsidRPr="000F327C">
        <w:tab/>
        <w:t>Motility disorder (</w:t>
      </w:r>
      <w:proofErr w:type="gramStart"/>
      <w:r w:rsidRPr="000F327C">
        <w:t>pseudo obstruction</w:t>
      </w:r>
      <w:proofErr w:type="gramEnd"/>
      <w:r w:rsidRPr="000F327C">
        <w:t>)</w:t>
      </w:r>
    </w:p>
    <w:p w14:paraId="50967937" w14:textId="77777777" w:rsidR="00B17286" w:rsidRPr="000F327C" w:rsidRDefault="00B17286" w:rsidP="00B17286">
      <w:pPr>
        <w:pStyle w:val="CLETTERED"/>
      </w:pPr>
      <w:r w:rsidRPr="000F327C">
        <w:t>E.</w:t>
      </w:r>
      <w:r w:rsidRPr="000F327C">
        <w:tab/>
        <w:t xml:space="preserve">Radiation </w:t>
      </w:r>
      <w:proofErr w:type="gramStart"/>
      <w:r w:rsidRPr="000F327C">
        <w:t>enteritis</w:t>
      </w:r>
      <w:proofErr w:type="gramEnd"/>
    </w:p>
    <w:p w14:paraId="37B522D9" w14:textId="77777777" w:rsidR="00B17286" w:rsidRPr="000F327C" w:rsidRDefault="00B17286" w:rsidP="00B17286">
      <w:pPr>
        <w:pStyle w:val="CLETTERED"/>
      </w:pPr>
      <w:r w:rsidRPr="000F327C">
        <w:t>F.</w:t>
      </w:r>
      <w:r w:rsidRPr="000F327C">
        <w:tab/>
        <w:t>Mesenteric infarction</w:t>
      </w:r>
    </w:p>
    <w:p w14:paraId="3B06BFF1" w14:textId="77777777" w:rsidR="00B17286" w:rsidRPr="000F327C" w:rsidRDefault="00B17286" w:rsidP="00B17286">
      <w:pPr>
        <w:pStyle w:val="CLETTERED"/>
      </w:pPr>
      <w:r w:rsidRPr="000F327C">
        <w:t>G.</w:t>
      </w:r>
      <w:r w:rsidRPr="000F327C">
        <w:tab/>
        <w:t>Massive bowel resection</w:t>
      </w:r>
    </w:p>
    <w:p w14:paraId="0CFE439D" w14:textId="77777777" w:rsidR="00B17286" w:rsidRPr="000F327C" w:rsidRDefault="00B17286" w:rsidP="00B17286">
      <w:pPr>
        <w:pStyle w:val="ctext"/>
      </w:pPr>
      <w:r w:rsidRPr="000F327C">
        <w:t xml:space="preserve">Parenteral hyperalimentation services include the provision and delivery of the prescribed therapy, equipment and supplies necessary for the administration of </w:t>
      </w:r>
      <w:proofErr w:type="gramStart"/>
      <w:r w:rsidRPr="000F327C">
        <w:t>the parenteral</w:t>
      </w:r>
      <w:proofErr w:type="gramEnd"/>
      <w:r w:rsidRPr="000F327C">
        <w:t xml:space="preserve"> nutrition in the beneficiary’s place of residence.</w:t>
      </w:r>
    </w:p>
    <w:p w14:paraId="1174A751" w14:textId="77777777" w:rsidR="00B17286" w:rsidRPr="000F327C" w:rsidRDefault="00B17286" w:rsidP="00B17286">
      <w:pPr>
        <w:pStyle w:val="ctext"/>
        <w:rPr>
          <w:b/>
        </w:rPr>
      </w:pPr>
      <w:r w:rsidRPr="000F327C">
        <w:rPr>
          <w:b/>
        </w:rPr>
        <w:t>A nutritional assessment performed by the hyperalimentation provider is not a covered service.</w:t>
      </w:r>
    </w:p>
    <w:p w14:paraId="43439AA1" w14:textId="77777777" w:rsidR="00B17286" w:rsidRPr="000F327C" w:rsidRDefault="00B17286" w:rsidP="00B17286">
      <w:pPr>
        <w:pStyle w:val="ctext"/>
      </w:pPr>
      <w:r w:rsidRPr="000F327C">
        <w:t xml:space="preserve">Parenteral hyperalimentation services are limited to six units of service per day.  </w:t>
      </w:r>
      <w:r w:rsidRPr="000F327C">
        <w:rPr>
          <w:u w:val="single"/>
        </w:rPr>
        <w:t xml:space="preserve">A </w:t>
      </w:r>
      <w:proofErr w:type="gramStart"/>
      <w:r w:rsidRPr="000F327C">
        <w:rPr>
          <w:u w:val="single"/>
        </w:rPr>
        <w:t>half-liter</w:t>
      </w:r>
      <w:proofErr w:type="gramEnd"/>
      <w:r w:rsidRPr="000F327C">
        <w:rPr>
          <w:u w:val="single"/>
        </w:rPr>
        <w:t xml:space="preserve"> of the prescribed hyperalimentation total parenteral nutrition (TPN) equals one unit of service</w:t>
      </w:r>
      <w:r w:rsidRPr="000F327C">
        <w:t>.  Units may not be rounded up.  Providers must bill a date span according to the prescribed daily volume.  (Refer to Section 240.000 for billing instructions)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17286" w:rsidRPr="000F327C" w14:paraId="09BFA00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38FE1EA" w14:textId="77777777" w:rsidR="00B17286" w:rsidRPr="000F327C" w:rsidRDefault="00B17286" w:rsidP="003C6D3B">
            <w:pPr>
              <w:pStyle w:val="chead2"/>
            </w:pPr>
            <w:bookmarkStart w:id="38" w:name="_Toc129071945"/>
            <w:bookmarkStart w:id="39" w:name="_Toc130806553"/>
            <w:bookmarkStart w:id="40" w:name="_Toc148240010"/>
            <w:bookmarkStart w:id="41" w:name="_Toc199229728"/>
            <w:r w:rsidRPr="000F327C">
              <w:t>214.000</w:t>
            </w:r>
            <w:r w:rsidRPr="000F327C">
              <w:tab/>
              <w:t>Coverage of Enteral (Sole Source) Hyperalimentation Services/Benefit Limits</w:t>
            </w:r>
            <w:bookmarkEnd w:id="38"/>
            <w:bookmarkEnd w:id="39"/>
            <w:bookmarkEnd w:id="40"/>
            <w:bookmarkEnd w:id="41"/>
          </w:p>
        </w:tc>
        <w:tc>
          <w:tcPr>
            <w:tcW w:w="1238" w:type="dxa"/>
            <w:tcBorders>
              <w:top w:val="single" w:sz="2" w:space="0" w:color="FFFFFF"/>
              <w:left w:val="single" w:sz="6" w:space="0" w:color="FFFFFF"/>
              <w:bottom w:val="single" w:sz="2" w:space="0" w:color="FFFFFF"/>
              <w:right w:val="single" w:sz="2" w:space="0" w:color="FFFFFF"/>
            </w:tcBorders>
          </w:tcPr>
          <w:p w14:paraId="11DA962B" w14:textId="77777777" w:rsidR="00B17286" w:rsidRPr="000F327C" w:rsidRDefault="00B17286" w:rsidP="003C6D3B">
            <w:pPr>
              <w:pStyle w:val="cDate2"/>
            </w:pPr>
            <w:smartTag w:uri="urn:schemas-microsoft-com:office:smarttags" w:element="date">
              <w:smartTagPr>
                <w:attr w:name="Month" w:val="10"/>
                <w:attr w:name="Day" w:val="1"/>
                <w:attr w:name="Year" w:val="2006"/>
              </w:smartTagPr>
              <w:r w:rsidRPr="000F327C">
                <w:t>10-1-06</w:t>
              </w:r>
            </w:smartTag>
          </w:p>
        </w:tc>
      </w:tr>
    </w:tbl>
    <w:p w14:paraId="176AED0F" w14:textId="77777777" w:rsidR="00B17286" w:rsidRPr="000F327C" w:rsidRDefault="00B17286" w:rsidP="00B17286">
      <w:pPr>
        <w:pStyle w:val="ctext"/>
      </w:pPr>
      <w:r w:rsidRPr="000F327C">
        <w:t xml:space="preserve">Coverage of sole source enteral therapy must be </w:t>
      </w:r>
      <w:proofErr w:type="gramStart"/>
      <w:r w:rsidRPr="000F327C">
        <w:t>prior</w:t>
      </w:r>
      <w:proofErr w:type="gramEnd"/>
      <w:r w:rsidRPr="000F327C">
        <w:t xml:space="preserve"> approved.  Enteral (sole source) nutrition is considered medically necessary for a patient with a functioning gastrointestinal tract who cannot maintain weight and strength commensurate with his or her general condition due to pathology or non-function of the structures that normally permit food to reach the digestive tract.  Enteral (sole source) therapy may be given by nasogastric, jejunostomy or gastrostomy tubes.</w:t>
      </w:r>
    </w:p>
    <w:p w14:paraId="7C151AFB" w14:textId="77777777" w:rsidR="00B17286" w:rsidRPr="000F327C" w:rsidRDefault="00B17286" w:rsidP="00B17286">
      <w:pPr>
        <w:pStyle w:val="ctext"/>
      </w:pPr>
      <w:r w:rsidRPr="000F327C">
        <w:t xml:space="preserve">Coverage of enteral (sole source) nutrition therapy must be prior approved.  Each request will be reviewed on a </w:t>
      </w:r>
      <w:proofErr w:type="gramStart"/>
      <w:r w:rsidRPr="000F327C">
        <w:t>case by case</w:t>
      </w:r>
      <w:proofErr w:type="gramEnd"/>
      <w:r w:rsidRPr="000F327C">
        <w:t xml:space="preserve"> basis.  Typical examples of conditions that would qualify for coverage are:</w:t>
      </w:r>
    </w:p>
    <w:p w14:paraId="50B91AC6" w14:textId="77777777" w:rsidR="00B17286" w:rsidRPr="000F327C" w:rsidRDefault="00B17286" w:rsidP="00B17286">
      <w:pPr>
        <w:pStyle w:val="CLETTERED"/>
      </w:pPr>
      <w:r w:rsidRPr="000F327C">
        <w:t>A.</w:t>
      </w:r>
      <w:r w:rsidRPr="000F327C">
        <w:tab/>
        <w:t>Acute ulcerative colitis</w:t>
      </w:r>
    </w:p>
    <w:p w14:paraId="6845070D" w14:textId="77777777" w:rsidR="00B17286" w:rsidRPr="000F327C" w:rsidRDefault="00B17286" w:rsidP="00B17286">
      <w:pPr>
        <w:pStyle w:val="CLETTERED"/>
      </w:pPr>
      <w:r w:rsidRPr="000F327C">
        <w:t>B.</w:t>
      </w:r>
      <w:r w:rsidRPr="000F327C">
        <w:tab/>
        <w:t>Gastrointestinal cancer</w:t>
      </w:r>
    </w:p>
    <w:p w14:paraId="3B2C77DB" w14:textId="77777777" w:rsidR="00B17286" w:rsidRPr="000F327C" w:rsidRDefault="00B17286" w:rsidP="00B17286">
      <w:pPr>
        <w:pStyle w:val="CLETTERED"/>
      </w:pPr>
      <w:r w:rsidRPr="000F327C">
        <w:t>C.</w:t>
      </w:r>
      <w:r w:rsidRPr="000F327C">
        <w:tab/>
        <w:t>Granulomatous colitis</w:t>
      </w:r>
    </w:p>
    <w:p w14:paraId="33FEE93F" w14:textId="77777777" w:rsidR="00B17286" w:rsidRPr="000F327C" w:rsidRDefault="00B17286" w:rsidP="00B17286">
      <w:pPr>
        <w:pStyle w:val="CLETTERED"/>
      </w:pPr>
      <w:r w:rsidRPr="000F327C">
        <w:t>D.</w:t>
      </w:r>
      <w:r w:rsidRPr="000F327C">
        <w:tab/>
        <w:t>Intestinal atresia (infants)</w:t>
      </w:r>
    </w:p>
    <w:p w14:paraId="5546E3D0" w14:textId="77777777" w:rsidR="00B17286" w:rsidRPr="000F327C" w:rsidRDefault="00B17286" w:rsidP="00B17286">
      <w:pPr>
        <w:pStyle w:val="CLETTERED"/>
      </w:pPr>
      <w:r w:rsidRPr="000F327C">
        <w:t>E.</w:t>
      </w:r>
      <w:r w:rsidRPr="000F327C">
        <w:tab/>
        <w:t>Ischemic bowel disease</w:t>
      </w:r>
    </w:p>
    <w:p w14:paraId="1B9E78CF" w14:textId="77777777" w:rsidR="00B17286" w:rsidRPr="000F327C" w:rsidRDefault="00B17286" w:rsidP="00B17286">
      <w:pPr>
        <w:pStyle w:val="CLETTERED"/>
      </w:pPr>
      <w:r w:rsidRPr="000F327C">
        <w:t>F.</w:t>
      </w:r>
      <w:r w:rsidRPr="000F327C">
        <w:tab/>
        <w:t>Malabsorption syndrome</w:t>
      </w:r>
    </w:p>
    <w:p w14:paraId="298D534D" w14:textId="77777777" w:rsidR="00B17286" w:rsidRPr="000F327C" w:rsidRDefault="00B17286" w:rsidP="00B17286">
      <w:pPr>
        <w:pStyle w:val="CLETTERED"/>
      </w:pPr>
      <w:r w:rsidRPr="000F327C">
        <w:t>G.</w:t>
      </w:r>
      <w:r w:rsidRPr="000F327C">
        <w:tab/>
        <w:t xml:space="preserve">Short-gut syndrome </w:t>
      </w:r>
    </w:p>
    <w:p w14:paraId="2DC169FF" w14:textId="77777777" w:rsidR="00B17286" w:rsidRPr="000F327C" w:rsidRDefault="00B17286" w:rsidP="00B17286">
      <w:pPr>
        <w:pStyle w:val="CLETTERED"/>
      </w:pPr>
      <w:r w:rsidRPr="000F327C">
        <w:t>H.</w:t>
      </w:r>
      <w:r w:rsidRPr="000F327C">
        <w:tab/>
        <w:t>Head and neck cancer with reconstructive surgery</w:t>
      </w:r>
    </w:p>
    <w:p w14:paraId="700C17E0" w14:textId="77777777" w:rsidR="00B17286" w:rsidRPr="000F327C" w:rsidRDefault="00B17286" w:rsidP="00B17286">
      <w:pPr>
        <w:pStyle w:val="CLETTERED"/>
      </w:pPr>
      <w:r w:rsidRPr="000F327C">
        <w:lastRenderedPageBreak/>
        <w:t>I.</w:t>
      </w:r>
      <w:r w:rsidRPr="000F327C">
        <w:tab/>
        <w:t xml:space="preserve">Central nervous system disease </w:t>
      </w:r>
      <w:proofErr w:type="gramStart"/>
      <w:r w:rsidRPr="000F327C">
        <w:t>leading</w:t>
      </w:r>
      <w:proofErr w:type="gramEnd"/>
      <w:r w:rsidRPr="000F327C">
        <w:t xml:space="preserve"> to interference with the neuromuscular mechanisms of ingestion of such severity that the patient cannot be maintained with oral feeding.</w:t>
      </w:r>
    </w:p>
    <w:p w14:paraId="1AFCEE14" w14:textId="77777777" w:rsidR="00B17286" w:rsidRPr="000F327C" w:rsidRDefault="00B17286" w:rsidP="00B17286">
      <w:pPr>
        <w:pStyle w:val="ctext"/>
      </w:pPr>
      <w:r w:rsidRPr="000F327C">
        <w:t>Enteral (sole source) hyperalimentation services include the provision and delivery of the prescribed therapy, equipment and supplies necessary for the administration of the prescribed therapy in the beneficiary’s place of residence.</w:t>
      </w:r>
    </w:p>
    <w:p w14:paraId="744638EC" w14:textId="77777777" w:rsidR="00B17286" w:rsidRPr="000F327C" w:rsidRDefault="00B17286" w:rsidP="00B17286">
      <w:pPr>
        <w:pStyle w:val="ctext"/>
      </w:pPr>
      <w:r w:rsidRPr="000F327C">
        <w:t xml:space="preserve">Enteral (sole source) hyperalimentation services are limited to 30 units of service per day.  </w:t>
      </w:r>
      <w:r w:rsidRPr="000F327C">
        <w:rPr>
          <w:u w:val="single"/>
        </w:rPr>
        <w:t>One unit of service equals 100 calories of covered nutritional therapy product resulting in a maximum of 3000 calories per day</w:t>
      </w:r>
      <w:r w:rsidRPr="000F327C">
        <w:t>.  Units may not be rounded up.  Providers must bill a date span according to the prescribed daily volume.  (Refer to Section 240.000 for billing instructions.)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17286" w:rsidRPr="000F327C" w14:paraId="3063E2D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502B6C3" w14:textId="77777777" w:rsidR="00B17286" w:rsidRPr="000F327C" w:rsidRDefault="00B17286" w:rsidP="003C6D3B">
            <w:pPr>
              <w:pStyle w:val="chead2"/>
            </w:pPr>
            <w:bookmarkStart w:id="42" w:name="_Toc129071946"/>
            <w:bookmarkStart w:id="43" w:name="_Toc130806554"/>
            <w:bookmarkStart w:id="44" w:name="_Toc148240011"/>
            <w:bookmarkStart w:id="45" w:name="_Toc199229729"/>
            <w:r w:rsidRPr="000F327C">
              <w:t>215.000</w:t>
            </w:r>
            <w:r w:rsidRPr="000F327C">
              <w:tab/>
              <w:t>Exclusions</w:t>
            </w:r>
            <w:bookmarkEnd w:id="42"/>
            <w:bookmarkEnd w:id="43"/>
            <w:bookmarkEnd w:id="44"/>
            <w:bookmarkEnd w:id="45"/>
          </w:p>
        </w:tc>
        <w:tc>
          <w:tcPr>
            <w:tcW w:w="1238" w:type="dxa"/>
            <w:tcBorders>
              <w:top w:val="single" w:sz="2" w:space="0" w:color="FFFFFF"/>
              <w:left w:val="single" w:sz="6" w:space="0" w:color="FFFFFF"/>
              <w:bottom w:val="single" w:sz="2" w:space="0" w:color="FFFFFF"/>
              <w:right w:val="single" w:sz="2" w:space="0" w:color="FFFFFF"/>
            </w:tcBorders>
          </w:tcPr>
          <w:p w14:paraId="142A2897" w14:textId="77777777" w:rsidR="00B17286" w:rsidRPr="000F327C" w:rsidRDefault="00B17286" w:rsidP="003C6D3B">
            <w:pPr>
              <w:pStyle w:val="cDate2"/>
            </w:pPr>
            <w:smartTag w:uri="urn:schemas-microsoft-com:office:smarttags" w:element="date">
              <w:smartTagPr>
                <w:attr w:name="Month" w:val="10"/>
                <w:attr w:name="Day" w:val="1"/>
                <w:attr w:name="Year" w:val="2006"/>
              </w:smartTagPr>
              <w:r w:rsidRPr="000F327C">
                <w:t>10-1-06</w:t>
              </w:r>
            </w:smartTag>
          </w:p>
        </w:tc>
      </w:tr>
    </w:tbl>
    <w:p w14:paraId="03028F4E" w14:textId="77777777" w:rsidR="00B17286" w:rsidRPr="000F327C" w:rsidRDefault="00B17286" w:rsidP="00B17286">
      <w:pPr>
        <w:pStyle w:val="ctext"/>
      </w:pPr>
      <w:r w:rsidRPr="000F327C">
        <w:t>Hyperalimentation equipment and supplies will not be authorized for use by a beneficiary in an institution not defined as the place of residence (See Section 212.000).</w:t>
      </w:r>
    </w:p>
    <w:p w14:paraId="1440491A" w14:textId="77777777" w:rsidR="00B17286" w:rsidRPr="000F327C" w:rsidRDefault="00B17286" w:rsidP="00B17286">
      <w:pPr>
        <w:pStyle w:val="ctext"/>
      </w:pPr>
      <w:r w:rsidRPr="000F327C">
        <w:t>The WIC (Women Infants Children) Program must be accessed first for individuals aged 0 to five (5) years.</w:t>
      </w:r>
    </w:p>
    <w:p w14:paraId="014132E8" w14:textId="77777777" w:rsidR="00B17286" w:rsidRPr="000F327C" w:rsidRDefault="00B17286" w:rsidP="00B17286">
      <w:pPr>
        <w:pStyle w:val="ctext"/>
      </w:pPr>
      <w:r w:rsidRPr="000F327C">
        <w:t>Nutritional supplementation is not covered under the Hyperalimentation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254B8" w:rsidRPr="000F327C" w14:paraId="4F3FF1E2" w14:textId="77777777" w:rsidTr="007E00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D4AAB33" w14:textId="77777777" w:rsidR="008254B8" w:rsidRPr="000F327C" w:rsidRDefault="008254B8" w:rsidP="00BE2C10">
            <w:pPr>
              <w:pStyle w:val="chead2"/>
            </w:pPr>
            <w:bookmarkStart w:id="46" w:name="_Toc129071947"/>
            <w:bookmarkStart w:id="47" w:name="_Toc130806555"/>
            <w:bookmarkStart w:id="48" w:name="_Toc148240012"/>
            <w:bookmarkStart w:id="49" w:name="_Toc199229730"/>
            <w:r w:rsidRPr="000F327C">
              <w:t>216.000</w:t>
            </w:r>
            <w:r w:rsidRPr="000F327C">
              <w:tab/>
              <w:t>Documentation Requirements</w:t>
            </w:r>
            <w:bookmarkEnd w:id="46"/>
            <w:bookmarkEnd w:id="47"/>
            <w:bookmarkEnd w:id="48"/>
            <w:bookmarkEnd w:id="49"/>
          </w:p>
        </w:tc>
        <w:tc>
          <w:tcPr>
            <w:tcW w:w="1238" w:type="dxa"/>
            <w:tcBorders>
              <w:top w:val="single" w:sz="2" w:space="0" w:color="FFFFFF"/>
              <w:left w:val="single" w:sz="6" w:space="0" w:color="FFFFFF"/>
              <w:bottom w:val="single" w:sz="2" w:space="0" w:color="FFFFFF"/>
              <w:right w:val="single" w:sz="2" w:space="0" w:color="FFFFFF"/>
            </w:tcBorders>
          </w:tcPr>
          <w:p w14:paraId="749690DA" w14:textId="77777777" w:rsidR="008254B8" w:rsidRPr="000F327C" w:rsidRDefault="008254B8" w:rsidP="00BE2C10">
            <w:pPr>
              <w:pStyle w:val="cDate2"/>
            </w:pPr>
            <w:r w:rsidRPr="000F327C">
              <w:t>11-1-09</w:t>
            </w:r>
          </w:p>
        </w:tc>
      </w:tr>
    </w:tbl>
    <w:p w14:paraId="632F3A26" w14:textId="77777777" w:rsidR="008254B8" w:rsidRPr="000F327C" w:rsidRDefault="008254B8" w:rsidP="008254B8">
      <w:pPr>
        <w:pStyle w:val="ctext"/>
      </w:pPr>
      <w:r w:rsidRPr="000F327C">
        <w:t>The hyperalimentation provider must keep and maintain written records, inclusive of all documentation submitted requesting prior authorization.  See Section 141.000 for general records that must be included in the provider’s files and Section 212.000 for records regarding prior authorization.</w:t>
      </w:r>
    </w:p>
    <w:p w14:paraId="25D6B5D9" w14:textId="77777777" w:rsidR="008254B8" w:rsidRPr="000F327C" w:rsidRDefault="008254B8" w:rsidP="008254B8">
      <w:pPr>
        <w:pStyle w:val="ctext"/>
      </w:pPr>
      <w:r w:rsidRPr="000F327C">
        <w:t>The hyperalimentation provider must establish and maintain written documentation in each beneficiary’s case file to support the medical necessity of each provided service.  The beneficiary’s medical record, maintained by the provider, must include documentation from the beneficiary’s hospitalization which supports the medical necessity of the prescribed parenteral or enteral nutrition therapy.</w:t>
      </w:r>
    </w:p>
    <w:p w14:paraId="390B0AD7" w14:textId="77777777" w:rsidR="008254B8" w:rsidRPr="000F327C" w:rsidRDefault="008254B8" w:rsidP="008254B8">
      <w:pPr>
        <w:pStyle w:val="ctext"/>
      </w:pPr>
      <w:r w:rsidRPr="000F327C">
        <w:t xml:space="preserve">All entries in a </w:t>
      </w:r>
      <w:proofErr w:type="gramStart"/>
      <w:r w:rsidRPr="000F327C">
        <w:t>beneficiary’s</w:t>
      </w:r>
      <w:proofErr w:type="gramEnd"/>
      <w:r w:rsidRPr="000F327C">
        <w:t xml:space="preserve"> case file must be signed and dated by the individual providing the service to include the person’s full name and credentials.</w:t>
      </w:r>
    </w:p>
    <w:p w14:paraId="77ABBF1B" w14:textId="77777777" w:rsidR="008254B8" w:rsidRPr="000F327C" w:rsidRDefault="008254B8" w:rsidP="008254B8">
      <w:pPr>
        <w:pStyle w:val="ctext"/>
      </w:pPr>
      <w:r w:rsidRPr="000F327C">
        <w:t>Other documentation in a beneficiary’s case file must include:</w:t>
      </w:r>
    </w:p>
    <w:p w14:paraId="12CF6952" w14:textId="77777777" w:rsidR="008254B8" w:rsidRPr="000F327C" w:rsidRDefault="008254B8" w:rsidP="008254B8">
      <w:pPr>
        <w:pStyle w:val="CLETTERED"/>
      </w:pPr>
      <w:r w:rsidRPr="000F327C">
        <w:t>A.</w:t>
      </w:r>
      <w:r w:rsidRPr="000F327C">
        <w:tab/>
        <w:t>The beneficiary’s name and Medicaid identification number</w:t>
      </w:r>
    </w:p>
    <w:p w14:paraId="3A0821AB" w14:textId="77777777" w:rsidR="008254B8" w:rsidRPr="000F327C" w:rsidRDefault="008254B8" w:rsidP="008254B8">
      <w:pPr>
        <w:pStyle w:val="CLETTERED"/>
      </w:pPr>
      <w:r w:rsidRPr="000F327C">
        <w:t>B.</w:t>
      </w:r>
      <w:r w:rsidRPr="000F327C">
        <w:tab/>
        <w:t>The specific service provided</w:t>
      </w:r>
    </w:p>
    <w:p w14:paraId="65005D68" w14:textId="77777777" w:rsidR="008254B8" w:rsidRPr="000F327C" w:rsidRDefault="008254B8" w:rsidP="008254B8">
      <w:pPr>
        <w:pStyle w:val="CLETTERED"/>
      </w:pPr>
      <w:r w:rsidRPr="000F327C">
        <w:t>C.</w:t>
      </w:r>
      <w:r w:rsidRPr="000F327C">
        <w:tab/>
        <w:t>The date services are provided</w:t>
      </w:r>
    </w:p>
    <w:p w14:paraId="5A0C5923" w14:textId="77777777" w:rsidR="008254B8" w:rsidRPr="000F327C" w:rsidRDefault="008254B8" w:rsidP="008254B8">
      <w:pPr>
        <w:pStyle w:val="CLETTERED"/>
      </w:pPr>
      <w:r w:rsidRPr="000F327C">
        <w:t>D.</w:t>
      </w:r>
      <w:r w:rsidRPr="000F327C">
        <w:tab/>
        <w:t>Updated progress notes describing the nature and extent of specific services provided</w:t>
      </w:r>
    </w:p>
    <w:p w14:paraId="26C4854F" w14:textId="77777777" w:rsidR="00212851" w:rsidRPr="000F327C" w:rsidRDefault="008254B8" w:rsidP="008254B8">
      <w:pPr>
        <w:pStyle w:val="CLETTERED"/>
      </w:pPr>
      <w:r w:rsidRPr="000F327C">
        <w:t>E.</w:t>
      </w:r>
      <w:r w:rsidRPr="000F327C">
        <w:tab/>
        <w:t>All documentation submitted requesting prior authorization from DMS.  (See Section 212.000 for documentation requirements.)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254B8" w:rsidRPr="000F327C" w14:paraId="17239FA7" w14:textId="77777777" w:rsidTr="007E00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C3AE943" w14:textId="77777777" w:rsidR="008254B8" w:rsidRPr="000F327C" w:rsidRDefault="008254B8" w:rsidP="00BE2C10">
            <w:pPr>
              <w:pStyle w:val="chead2"/>
            </w:pPr>
            <w:bookmarkStart w:id="50" w:name="_Toc199229731"/>
            <w:r w:rsidRPr="000F327C">
              <w:t>216.100</w:t>
            </w:r>
            <w:r w:rsidRPr="000F327C">
              <w:tab/>
              <w:t>Reserved</w:t>
            </w:r>
            <w:bookmarkEnd w:id="50"/>
          </w:p>
        </w:tc>
        <w:tc>
          <w:tcPr>
            <w:tcW w:w="1238" w:type="dxa"/>
            <w:tcBorders>
              <w:top w:val="single" w:sz="2" w:space="0" w:color="FFFFFF"/>
              <w:left w:val="single" w:sz="6" w:space="0" w:color="FFFFFF"/>
              <w:bottom w:val="single" w:sz="2" w:space="0" w:color="FFFFFF"/>
              <w:right w:val="single" w:sz="2" w:space="0" w:color="FFFFFF"/>
            </w:tcBorders>
          </w:tcPr>
          <w:p w14:paraId="5B1386B4" w14:textId="77777777" w:rsidR="008254B8" w:rsidRPr="000F327C" w:rsidRDefault="008254B8" w:rsidP="00BE2C10">
            <w:pPr>
              <w:pStyle w:val="cDate2"/>
            </w:pPr>
            <w:r w:rsidRPr="000F327C">
              <w:t>11-1--09</w:t>
            </w:r>
          </w:p>
        </w:tc>
      </w:tr>
    </w:tbl>
    <w:p w14:paraId="4CB09199" w14:textId="77777777" w:rsidR="004C0355" w:rsidRPr="000F327C" w:rsidRDefault="004C0355" w:rsidP="00BE0AF5">
      <w:pPr>
        <w:pStyle w:val="ctablespace"/>
      </w:pPr>
    </w:p>
    <w:tbl>
      <w:tblPr>
        <w:tblW w:w="9360" w:type="dxa"/>
        <w:tblLook w:val="0000" w:firstRow="0" w:lastRow="0" w:firstColumn="0" w:lastColumn="0" w:noHBand="0" w:noVBand="0"/>
      </w:tblPr>
      <w:tblGrid>
        <w:gridCol w:w="8122"/>
        <w:gridCol w:w="1238"/>
      </w:tblGrid>
      <w:tr w:rsidR="004C0355" w:rsidRPr="000F327C" w14:paraId="1D451CAE" w14:textId="77777777" w:rsidTr="005311EF">
        <w:tblPrEx>
          <w:tblCellMar>
            <w:top w:w="0" w:type="dxa"/>
            <w:bottom w:w="0" w:type="dxa"/>
          </w:tblCellMar>
        </w:tblPrEx>
        <w:trPr>
          <w:cantSplit/>
        </w:trPr>
        <w:tc>
          <w:tcPr>
            <w:tcW w:w="8122" w:type="dxa"/>
            <w:shd w:val="clear" w:color="auto" w:fill="1D73D6"/>
          </w:tcPr>
          <w:p w14:paraId="2CCE82CF" w14:textId="77777777" w:rsidR="004C0355" w:rsidRPr="000F327C" w:rsidRDefault="004C0355">
            <w:pPr>
              <w:pStyle w:val="chead1"/>
            </w:pPr>
            <w:bookmarkStart w:id="51" w:name="_Toc199229732"/>
            <w:r w:rsidRPr="000F327C">
              <w:t>220.000</w:t>
            </w:r>
            <w:r w:rsidRPr="000F327C">
              <w:tab/>
              <w:t>PRIOR AUTHORIZATION</w:t>
            </w:r>
            <w:bookmarkEnd w:id="51"/>
          </w:p>
        </w:tc>
        <w:tc>
          <w:tcPr>
            <w:tcW w:w="1238" w:type="dxa"/>
            <w:shd w:val="clear" w:color="auto" w:fill="1D73D6"/>
            <w:vAlign w:val="center"/>
          </w:tcPr>
          <w:p w14:paraId="097D0C14" w14:textId="77777777" w:rsidR="004C0355" w:rsidRPr="000F327C" w:rsidRDefault="004C0355">
            <w:pPr>
              <w:pStyle w:val="cDate1"/>
              <w:rPr>
                <w:bCs/>
              </w:rPr>
            </w:pPr>
          </w:p>
        </w:tc>
      </w:tr>
      <w:tr w:rsidR="00215BE8" w:rsidRPr="000F327C" w14:paraId="50173B1A" w14:textId="77777777" w:rsidTr="0053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7F6A08A3" w14:textId="77777777" w:rsidR="00215BE8" w:rsidRPr="000F327C" w:rsidRDefault="00215BE8" w:rsidP="00BF7E8E">
            <w:pPr>
              <w:pStyle w:val="chead2"/>
            </w:pPr>
            <w:bookmarkStart w:id="52" w:name="_Toc129071951"/>
            <w:bookmarkStart w:id="53" w:name="_Toc130806559"/>
            <w:bookmarkStart w:id="54" w:name="_Toc148240016"/>
            <w:bookmarkStart w:id="55" w:name="_Toc199229733"/>
            <w:r w:rsidRPr="000F327C">
              <w:t>221.000</w:t>
            </w:r>
            <w:r w:rsidRPr="000F327C">
              <w:tab/>
              <w:t>Prior Authorization</w:t>
            </w:r>
            <w:bookmarkEnd w:id="55"/>
          </w:p>
        </w:tc>
        <w:tc>
          <w:tcPr>
            <w:tcW w:w="1238" w:type="dxa"/>
            <w:tcBorders>
              <w:top w:val="nil"/>
              <w:left w:val="single" w:sz="6" w:space="0" w:color="FFFFFF"/>
              <w:bottom w:val="single" w:sz="2" w:space="0" w:color="FFFFFF"/>
              <w:right w:val="single" w:sz="2" w:space="0" w:color="FFFFFF"/>
            </w:tcBorders>
          </w:tcPr>
          <w:p w14:paraId="21DA55B8" w14:textId="77777777" w:rsidR="00215BE8" w:rsidRPr="000F327C" w:rsidRDefault="0081628A" w:rsidP="00BF7E8E">
            <w:pPr>
              <w:pStyle w:val="cDate2"/>
            </w:pPr>
            <w:r w:rsidRPr="000F327C">
              <w:t>8-1-21</w:t>
            </w:r>
          </w:p>
        </w:tc>
      </w:tr>
    </w:tbl>
    <w:p w14:paraId="26432452" w14:textId="1BFADA94" w:rsidR="00215BE8" w:rsidRPr="000F327C" w:rsidRDefault="0081628A" w:rsidP="00215BE8">
      <w:pPr>
        <w:pStyle w:val="ctext"/>
      </w:pPr>
      <w:r w:rsidRPr="000F327C">
        <w:lastRenderedPageBreak/>
        <w:t xml:space="preserve">Hyperalimentation fluids, equipment and supplies must be prior authorized by the Department of Human Services (DHS) or its designated vendor. </w:t>
      </w:r>
      <w:hyperlink r:id="rId14" w:history="1">
        <w:r w:rsidRPr="000F327C">
          <w:rPr>
            <w:rStyle w:val="Hyperlink"/>
          </w:rPr>
          <w:t>View or print contact information to obtain the DHS or its designated vendor step-by-step process for requesting prior authorization.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17286" w:rsidRPr="000F327C" w14:paraId="6D2B800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8D52963" w14:textId="77777777" w:rsidR="00B17286" w:rsidRPr="000F327C" w:rsidRDefault="00B17286" w:rsidP="003C6D3B">
            <w:pPr>
              <w:pStyle w:val="chead2"/>
            </w:pPr>
            <w:bookmarkStart w:id="56" w:name="_Toc199229734"/>
            <w:r w:rsidRPr="000F327C">
              <w:t>222.000</w:t>
            </w:r>
            <w:r w:rsidRPr="000F327C">
              <w:tab/>
              <w:t>Request for Prior Authorization</w:t>
            </w:r>
            <w:bookmarkEnd w:id="52"/>
            <w:bookmarkEnd w:id="53"/>
            <w:bookmarkEnd w:id="54"/>
            <w:bookmarkEnd w:id="56"/>
          </w:p>
        </w:tc>
        <w:tc>
          <w:tcPr>
            <w:tcW w:w="1238" w:type="dxa"/>
            <w:tcBorders>
              <w:top w:val="single" w:sz="2" w:space="0" w:color="FFFFFF"/>
              <w:left w:val="single" w:sz="6" w:space="0" w:color="FFFFFF"/>
              <w:bottom w:val="single" w:sz="2" w:space="0" w:color="FFFFFF"/>
              <w:right w:val="single" w:sz="2" w:space="0" w:color="FFFFFF"/>
            </w:tcBorders>
          </w:tcPr>
          <w:p w14:paraId="24A1C5BC" w14:textId="77777777" w:rsidR="00B17286" w:rsidRPr="000F327C" w:rsidRDefault="00BD7DEC" w:rsidP="003C6D3B">
            <w:pPr>
              <w:pStyle w:val="cDate2"/>
            </w:pPr>
            <w:r w:rsidRPr="000F327C">
              <w:t>8-1-21</w:t>
            </w:r>
          </w:p>
        </w:tc>
      </w:tr>
    </w:tbl>
    <w:p w14:paraId="38DC9338" w14:textId="1A801D74" w:rsidR="00BD7DEC" w:rsidRPr="000F327C" w:rsidRDefault="00BD7DEC" w:rsidP="00BD7DEC">
      <w:pPr>
        <w:pStyle w:val="ctext"/>
      </w:pPr>
      <w:r w:rsidRPr="000F327C">
        <w:t xml:space="preserve">Requests for prior authorization originate with the provider. The provider is responsible for obtaining the required medical information and necessary prescription information needed for completion of the Request for Prior Authorization and Prescription Form. </w:t>
      </w:r>
      <w:hyperlink r:id="rId15" w:history="1">
        <w:r w:rsidRPr="000F327C">
          <w:rPr>
            <w:rStyle w:val="Hyperlink"/>
          </w:rPr>
          <w:t>View or print form DMS-2615 and instructions for completion</w:t>
        </w:r>
      </w:hyperlink>
      <w:r w:rsidRPr="000F327C">
        <w:t>. This form must be signed and dated by the prescribing physician.</w:t>
      </w:r>
    </w:p>
    <w:p w14:paraId="0108A82F" w14:textId="77777777" w:rsidR="00B17286" w:rsidRPr="000F327C" w:rsidRDefault="00BD7DEC" w:rsidP="00B17286">
      <w:pPr>
        <w:pStyle w:val="ctext"/>
      </w:pPr>
      <w:r w:rsidRPr="000F327C">
        <w:t>The request for prior authorization will be reviewed by the Department of Human Services (DHS) or its designated vendor.  The documentation submitted with the prior authorization request must support the medical necessity of the requested nutritional therapy. In some cases, additional information may be requested (i.e., original prescription, records from the hospitalization initiating nutritional therapy, nutritional assessment to establish medical necessity for nutritional therapy, etc.).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17286" w:rsidRPr="000F327C" w14:paraId="7A0EC11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428C893" w14:textId="77777777" w:rsidR="00B17286" w:rsidRPr="000F327C" w:rsidRDefault="00B17286" w:rsidP="003C6D3B">
            <w:pPr>
              <w:pStyle w:val="chead2"/>
            </w:pPr>
            <w:bookmarkStart w:id="57" w:name="_Toc130806560"/>
            <w:bookmarkStart w:id="58" w:name="_Toc148240017"/>
            <w:bookmarkStart w:id="59" w:name="_Toc199229735"/>
            <w:r w:rsidRPr="000F327C">
              <w:t>222.100</w:t>
            </w:r>
            <w:r w:rsidRPr="000F327C">
              <w:tab/>
              <w:t>Approvals of Prior Authorization Requests</w:t>
            </w:r>
            <w:bookmarkEnd w:id="57"/>
            <w:bookmarkEnd w:id="58"/>
            <w:bookmarkEnd w:id="59"/>
          </w:p>
        </w:tc>
        <w:tc>
          <w:tcPr>
            <w:tcW w:w="1238" w:type="dxa"/>
            <w:tcBorders>
              <w:top w:val="single" w:sz="2" w:space="0" w:color="FFFFFF"/>
              <w:left w:val="single" w:sz="6" w:space="0" w:color="FFFFFF"/>
              <w:bottom w:val="single" w:sz="2" w:space="0" w:color="FFFFFF"/>
              <w:right w:val="single" w:sz="2" w:space="0" w:color="FFFFFF"/>
            </w:tcBorders>
          </w:tcPr>
          <w:p w14:paraId="6BA37D67" w14:textId="77777777" w:rsidR="00B17286" w:rsidRPr="000F327C" w:rsidRDefault="00BD7DEC" w:rsidP="003C6D3B">
            <w:pPr>
              <w:pStyle w:val="cDate2"/>
            </w:pPr>
            <w:r w:rsidRPr="000F327C">
              <w:t>8-1-21</w:t>
            </w:r>
          </w:p>
        </w:tc>
      </w:tr>
    </w:tbl>
    <w:p w14:paraId="2312861E" w14:textId="77777777" w:rsidR="00B17286" w:rsidRPr="000F327C" w:rsidRDefault="001D19F2" w:rsidP="00B17286">
      <w:pPr>
        <w:pStyle w:val="ctext"/>
      </w:pPr>
      <w:r w:rsidRPr="000F327C">
        <w:t>When the PA request is approved, a prior authorization control number will be assigned. Prior authorization approvals are authorized for a maximum of six (6) months (180 days) or for the life of the prescription, whichever is shorter. If the prescribing physician documents the beneficiary’s condition is chronic and unlikely to change, a prior approval may be authorized for a maximum of twelve (12) months. The effective date of the prior authorization will be the date the patient will begin therapy or the day following the last day of the previous authorization approval.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F327C" w:rsidRPr="000F327C" w14:paraId="5B45B1B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8B002FE" w14:textId="42299334" w:rsidR="000F327C" w:rsidRPr="000F327C" w:rsidRDefault="000F327C" w:rsidP="000F327C">
            <w:pPr>
              <w:pStyle w:val="chead2"/>
            </w:pPr>
            <w:bookmarkStart w:id="60" w:name="_Toc130806561"/>
            <w:bookmarkStart w:id="61" w:name="_Toc148240018"/>
            <w:bookmarkStart w:id="62" w:name="_Toc199229736"/>
            <w:r w:rsidRPr="00EC680B">
              <w:t>222.200</w:t>
            </w:r>
            <w:r w:rsidRPr="00EC680B">
              <w:tab/>
              <w:t>Denial of Prior Authorization Requests</w:t>
            </w:r>
            <w:bookmarkEnd w:id="60"/>
            <w:bookmarkEnd w:id="61"/>
            <w:bookmarkEnd w:id="62"/>
          </w:p>
        </w:tc>
        <w:tc>
          <w:tcPr>
            <w:tcW w:w="1238" w:type="dxa"/>
            <w:tcBorders>
              <w:top w:val="single" w:sz="2" w:space="0" w:color="FFFFFF"/>
              <w:left w:val="single" w:sz="6" w:space="0" w:color="FFFFFF"/>
              <w:bottom w:val="single" w:sz="2" w:space="0" w:color="FFFFFF"/>
              <w:right w:val="single" w:sz="2" w:space="0" w:color="FFFFFF"/>
            </w:tcBorders>
          </w:tcPr>
          <w:p w14:paraId="336F98CD" w14:textId="51574BAF" w:rsidR="000F327C" w:rsidRPr="000F327C" w:rsidRDefault="000F327C" w:rsidP="000F327C">
            <w:pPr>
              <w:pStyle w:val="cDate2"/>
            </w:pPr>
            <w:r>
              <w:t>6-1-25</w:t>
            </w:r>
          </w:p>
        </w:tc>
      </w:tr>
    </w:tbl>
    <w:p w14:paraId="3D75C98D" w14:textId="015DFE39" w:rsidR="00B17286" w:rsidRPr="000F327C" w:rsidRDefault="000F327C" w:rsidP="00B17286">
      <w:pPr>
        <w:pStyle w:val="ctext"/>
      </w:pPr>
      <w:r w:rsidRPr="00EC680B">
        <w:t>For a denied request, a letter containing case specific rationale that explains why the request was not approved will be mailed to the requesting provider and to the Medicaid beneficiary.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F327C" w:rsidRPr="000F327C" w14:paraId="2CE547C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AC1ECA7" w14:textId="32D0BCA6" w:rsidR="000F327C" w:rsidRPr="000F327C" w:rsidRDefault="000F327C" w:rsidP="000F327C">
            <w:pPr>
              <w:pStyle w:val="chead2"/>
            </w:pPr>
            <w:bookmarkStart w:id="63" w:name="_Toc130806562"/>
            <w:bookmarkStart w:id="64" w:name="_Toc148240019"/>
            <w:bookmarkStart w:id="65" w:name="_Toc199229737"/>
            <w:r w:rsidRPr="00EC680B">
              <w:t>222.300</w:t>
            </w:r>
            <w:r w:rsidRPr="00EC680B">
              <w:tab/>
            </w:r>
            <w:bookmarkEnd w:id="63"/>
            <w:bookmarkEnd w:id="64"/>
            <w:r w:rsidRPr="00FF1454">
              <w:rPr>
                <w:highlight w:val="yellow"/>
              </w:rPr>
              <w:t>Administrative Reconsideration and Appeals</w:t>
            </w:r>
            <w:bookmarkEnd w:id="65"/>
          </w:p>
        </w:tc>
        <w:tc>
          <w:tcPr>
            <w:tcW w:w="1238" w:type="dxa"/>
            <w:tcBorders>
              <w:top w:val="single" w:sz="2" w:space="0" w:color="FFFFFF"/>
              <w:left w:val="single" w:sz="6" w:space="0" w:color="FFFFFF"/>
              <w:bottom w:val="single" w:sz="2" w:space="0" w:color="FFFFFF"/>
              <w:right w:val="single" w:sz="2" w:space="0" w:color="FFFFFF"/>
            </w:tcBorders>
          </w:tcPr>
          <w:p w14:paraId="2CA0B8FB" w14:textId="573D7DAA" w:rsidR="000F327C" w:rsidRPr="000F327C" w:rsidRDefault="000F327C" w:rsidP="000F327C">
            <w:pPr>
              <w:pStyle w:val="cDate2"/>
            </w:pPr>
            <w:r>
              <w:t>6-1-25</w:t>
            </w:r>
          </w:p>
        </w:tc>
      </w:tr>
    </w:tbl>
    <w:p w14:paraId="5FA1CA93" w14:textId="77777777" w:rsidR="000F327C" w:rsidRPr="00FF1454" w:rsidRDefault="000F327C" w:rsidP="000F327C">
      <w:pPr>
        <w:pStyle w:val="CLETTERED"/>
        <w:rPr>
          <w:highlight w:val="yellow"/>
        </w:rPr>
      </w:pPr>
      <w:r w:rsidRPr="00FF1454">
        <w:rPr>
          <w:highlight w:val="yellow"/>
        </w:rPr>
        <w:t>A.</w:t>
      </w:r>
      <w:r w:rsidRPr="00FF1454">
        <w:rPr>
          <w:highlight w:val="yellow"/>
        </w:rPr>
        <w:tab/>
        <w:t xml:space="preserve">Medicaid allows only one </w:t>
      </w:r>
      <w:r>
        <w:rPr>
          <w:highlight w:val="yellow"/>
        </w:rPr>
        <w:t xml:space="preserve">(1) </w:t>
      </w:r>
      <w:r w:rsidRPr="00FF1454">
        <w:rPr>
          <w:highlight w:val="yellow"/>
        </w:rPr>
        <w:t>reconsideration of an adverse decision. Reconsideration requests must be submitted in accordance with Section 160.000 of Section I of this Manual.</w:t>
      </w:r>
    </w:p>
    <w:p w14:paraId="066C130E" w14:textId="5CE544F7" w:rsidR="00B17286" w:rsidRPr="000F327C" w:rsidRDefault="000F327C" w:rsidP="000F327C">
      <w:pPr>
        <w:pStyle w:val="CLETTERED"/>
      </w:pPr>
      <w:r w:rsidRPr="00FF1454">
        <w:rPr>
          <w:highlight w:val="yellow"/>
        </w:rPr>
        <w:t>B.</w:t>
      </w:r>
      <w:r w:rsidRPr="00FF1454">
        <w:rPr>
          <w:highlight w:val="yellow"/>
        </w:rPr>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F327C" w:rsidRPr="000F327C" w14:paraId="11ADD0E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B23A1CD" w14:textId="60B661A7" w:rsidR="000F327C" w:rsidRPr="000F327C" w:rsidRDefault="000F327C" w:rsidP="000F327C">
            <w:pPr>
              <w:pStyle w:val="chead2"/>
            </w:pPr>
            <w:bookmarkStart w:id="66" w:name="_Toc130806563"/>
            <w:bookmarkStart w:id="67" w:name="_Toc148240020"/>
            <w:bookmarkStart w:id="68" w:name="_Toc199229738"/>
            <w:r w:rsidRPr="00EC680B">
              <w:t>222.400</w:t>
            </w:r>
            <w:r w:rsidRPr="00EC680B">
              <w:tab/>
            </w:r>
            <w:bookmarkEnd w:id="66"/>
            <w:bookmarkEnd w:id="67"/>
            <w:r w:rsidRPr="00EB5121">
              <w:rPr>
                <w:highlight w:val="yellow"/>
              </w:rPr>
              <w:t>Reserved</w:t>
            </w:r>
            <w:bookmarkEnd w:id="68"/>
          </w:p>
        </w:tc>
        <w:tc>
          <w:tcPr>
            <w:tcW w:w="1238" w:type="dxa"/>
            <w:tcBorders>
              <w:top w:val="single" w:sz="2" w:space="0" w:color="FFFFFF"/>
              <w:left w:val="single" w:sz="6" w:space="0" w:color="FFFFFF"/>
              <w:bottom w:val="single" w:sz="2" w:space="0" w:color="FFFFFF"/>
              <w:right w:val="single" w:sz="2" w:space="0" w:color="FFFFFF"/>
            </w:tcBorders>
          </w:tcPr>
          <w:p w14:paraId="21032BA3" w14:textId="0D2DDC2A" w:rsidR="000F327C" w:rsidRPr="000F327C" w:rsidRDefault="000F327C" w:rsidP="000F327C">
            <w:pPr>
              <w:pStyle w:val="cDate2"/>
            </w:pPr>
            <w:r>
              <w:t>6-1-25</w:t>
            </w:r>
          </w:p>
        </w:tc>
      </w:tr>
      <w:tr w:rsidR="00B17286" w:rsidRPr="000F327C" w14:paraId="526F841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B17DEB4" w14:textId="77777777" w:rsidR="00B17286" w:rsidRPr="000F327C" w:rsidRDefault="00B17286" w:rsidP="003C6D3B">
            <w:pPr>
              <w:pStyle w:val="chead2"/>
            </w:pPr>
            <w:bookmarkStart w:id="69" w:name="_Toc148240021"/>
            <w:bookmarkStart w:id="70" w:name="_Toc199229739"/>
            <w:r w:rsidRPr="000F327C">
              <w:t>223.000</w:t>
            </w:r>
            <w:r w:rsidRPr="000F327C">
              <w:tab/>
              <w:t>Pre-Approval of Hyperalimentation Services</w:t>
            </w:r>
            <w:bookmarkEnd w:id="69"/>
            <w:bookmarkEnd w:id="70"/>
          </w:p>
        </w:tc>
        <w:tc>
          <w:tcPr>
            <w:tcW w:w="1238" w:type="dxa"/>
            <w:tcBorders>
              <w:top w:val="single" w:sz="2" w:space="0" w:color="FFFFFF"/>
              <w:left w:val="single" w:sz="6" w:space="0" w:color="FFFFFF"/>
              <w:bottom w:val="single" w:sz="2" w:space="0" w:color="FFFFFF"/>
              <w:right w:val="single" w:sz="2" w:space="0" w:color="FFFFFF"/>
            </w:tcBorders>
          </w:tcPr>
          <w:p w14:paraId="2DC750B2" w14:textId="77777777" w:rsidR="00B17286" w:rsidRPr="000F327C" w:rsidRDefault="001D19F2" w:rsidP="003C6D3B">
            <w:pPr>
              <w:pStyle w:val="cDate2"/>
            </w:pPr>
            <w:r w:rsidRPr="000F327C">
              <w:t>8-1-21</w:t>
            </w:r>
          </w:p>
        </w:tc>
      </w:tr>
    </w:tbl>
    <w:p w14:paraId="1B2A845A" w14:textId="532F0FE4" w:rsidR="001D19F2" w:rsidRPr="000F327C" w:rsidRDefault="001D19F2" w:rsidP="001D19F2">
      <w:pPr>
        <w:pStyle w:val="ctext"/>
        <w:rPr>
          <w:b/>
        </w:rPr>
      </w:pPr>
      <w:r w:rsidRPr="000F327C">
        <w:t xml:space="preserve">When an eligible Medicaid beneficiary is discharged from the inpatient setting with the continuation of hyperalimentation services in the home, a provider may request a pre-approval for hyperalimentation before the anticipated discharge date. </w:t>
      </w:r>
      <w:hyperlink r:id="rId16" w:history="1">
        <w:r w:rsidRPr="000F327C">
          <w:rPr>
            <w:rStyle w:val="Hyperlink"/>
          </w:rPr>
          <w:t>View or print contact information to obtain the DHS or its designated vendor step-by-step process for requesting pre-approval for hyperalimentation.</w:t>
        </w:r>
      </w:hyperlink>
      <w:r w:rsidRPr="000F327C">
        <w:t xml:space="preserve"> </w:t>
      </w:r>
    </w:p>
    <w:p w14:paraId="4924340E" w14:textId="77777777" w:rsidR="001D19F2" w:rsidRPr="000F327C" w:rsidRDefault="001D19F2" w:rsidP="001D19F2">
      <w:pPr>
        <w:pStyle w:val="ctext"/>
      </w:pPr>
      <w:r w:rsidRPr="000F327C">
        <w:t>When approved, a prior authorization number will be assigned and will be effective for thirty (30) days. The provider must not bill for hyperalimentation services prior to the date of discharge or bill for services on the same dates of service as the inpatient stay.</w:t>
      </w:r>
    </w:p>
    <w:p w14:paraId="0CEDE23E" w14:textId="77777777" w:rsidR="001D19F2" w:rsidRPr="000F327C" w:rsidRDefault="001D19F2" w:rsidP="001D19F2">
      <w:pPr>
        <w:pStyle w:val="ctext"/>
      </w:pPr>
      <w:r w:rsidRPr="000F327C">
        <w:lastRenderedPageBreak/>
        <w:t xml:space="preserve">If the beneficiary is not discharged within </w:t>
      </w:r>
      <w:proofErr w:type="gramStart"/>
      <w:r w:rsidRPr="000F327C">
        <w:t>the thirty</w:t>
      </w:r>
      <w:proofErr w:type="gramEnd"/>
      <w:r w:rsidRPr="000F327C">
        <w:t xml:space="preserve"> (30) days, the pre-approval will be void.</w:t>
      </w:r>
    </w:p>
    <w:p w14:paraId="1D0D203E" w14:textId="77777777" w:rsidR="001D19F2" w:rsidRPr="000F327C" w:rsidRDefault="001D19F2" w:rsidP="001D19F2">
      <w:pPr>
        <w:pStyle w:val="ctext"/>
      </w:pPr>
      <w:r w:rsidRPr="000F327C">
        <w:t>When continuation of the therapy is required past the initial thirty (30) day pre-approval, the provider must submit a recertification for prior authorization request with a prescription signed by the prescribing physician, prior to the end date of the pre-approval.</w:t>
      </w:r>
    </w:p>
    <w:p w14:paraId="1B9ABB73" w14:textId="77777777" w:rsidR="00B17286" w:rsidRPr="000F327C" w:rsidRDefault="001D19F2" w:rsidP="001D19F2">
      <w:pPr>
        <w:pStyle w:val="ctext"/>
        <w:rPr>
          <w:b/>
        </w:rPr>
      </w:pPr>
      <w:r w:rsidRPr="000F327C">
        <w:rPr>
          <w:b/>
        </w:rPr>
        <w:t>A pre-approval of hyperalimentation services does not guarantee payment.</w:t>
      </w:r>
    </w:p>
    <w:p w14:paraId="1A15E4D9" w14:textId="77777777" w:rsidR="00B17286" w:rsidRPr="000F327C" w:rsidRDefault="00B17286" w:rsidP="00B17286">
      <w:pPr>
        <w:pStyle w:val="ctablespace"/>
      </w:pPr>
    </w:p>
    <w:tbl>
      <w:tblPr>
        <w:tblW w:w="9360" w:type="dxa"/>
        <w:tblLook w:val="0000" w:firstRow="0" w:lastRow="0" w:firstColumn="0" w:lastColumn="0" w:noHBand="0" w:noVBand="0"/>
      </w:tblPr>
      <w:tblGrid>
        <w:gridCol w:w="8122"/>
        <w:gridCol w:w="1238"/>
      </w:tblGrid>
      <w:tr w:rsidR="004C0355" w:rsidRPr="000F327C" w14:paraId="4C0BECB6" w14:textId="77777777" w:rsidTr="005311EF">
        <w:tblPrEx>
          <w:tblCellMar>
            <w:top w:w="0" w:type="dxa"/>
            <w:bottom w:w="0" w:type="dxa"/>
          </w:tblCellMar>
        </w:tblPrEx>
        <w:trPr>
          <w:cantSplit/>
        </w:trPr>
        <w:tc>
          <w:tcPr>
            <w:tcW w:w="8122" w:type="dxa"/>
            <w:shd w:val="clear" w:color="auto" w:fill="1D73D6"/>
          </w:tcPr>
          <w:p w14:paraId="54F929E7" w14:textId="77777777" w:rsidR="004C0355" w:rsidRPr="000F327C" w:rsidRDefault="004C0355" w:rsidP="00784BA3">
            <w:pPr>
              <w:pStyle w:val="chead1"/>
              <w:keepNext/>
            </w:pPr>
            <w:bookmarkStart w:id="71" w:name="_Toc199229740"/>
            <w:r w:rsidRPr="000F327C">
              <w:t>230.000</w:t>
            </w:r>
            <w:r w:rsidRPr="000F327C">
              <w:tab/>
              <w:t>REIMBURSEMENT</w:t>
            </w:r>
            <w:bookmarkEnd w:id="71"/>
          </w:p>
        </w:tc>
        <w:tc>
          <w:tcPr>
            <w:tcW w:w="1238" w:type="dxa"/>
            <w:shd w:val="clear" w:color="auto" w:fill="1D73D6"/>
            <w:vAlign w:val="center"/>
          </w:tcPr>
          <w:p w14:paraId="75C97149" w14:textId="77777777" w:rsidR="004C0355" w:rsidRPr="000F327C" w:rsidRDefault="004C0355" w:rsidP="00784BA3">
            <w:pPr>
              <w:pStyle w:val="cDate1"/>
              <w:keepNext/>
              <w:rPr>
                <w:bCs/>
              </w:rPr>
            </w:pPr>
          </w:p>
        </w:tc>
      </w:tr>
      <w:tr w:rsidR="004C0355" w:rsidRPr="000F327C" w14:paraId="0F719A31" w14:textId="77777777" w:rsidTr="0053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0084F13D" w14:textId="77777777" w:rsidR="004C0355" w:rsidRPr="000F327C" w:rsidRDefault="004C0355" w:rsidP="00784BA3">
            <w:pPr>
              <w:pStyle w:val="chead2"/>
              <w:keepNext/>
            </w:pPr>
            <w:bookmarkStart w:id="72" w:name="_Toc199229741"/>
            <w:r w:rsidRPr="000F327C">
              <w:t>231.000</w:t>
            </w:r>
            <w:r w:rsidRPr="000F327C">
              <w:tab/>
              <w:t>Method of Reimbursement</w:t>
            </w:r>
            <w:bookmarkEnd w:id="72"/>
          </w:p>
        </w:tc>
        <w:tc>
          <w:tcPr>
            <w:tcW w:w="1238" w:type="dxa"/>
            <w:tcBorders>
              <w:top w:val="nil"/>
              <w:left w:val="single" w:sz="6" w:space="0" w:color="FFFFFF"/>
              <w:bottom w:val="single" w:sz="2" w:space="0" w:color="FFFFFF"/>
              <w:right w:val="single" w:sz="2" w:space="0" w:color="FFFFFF"/>
            </w:tcBorders>
          </w:tcPr>
          <w:p w14:paraId="072772F3" w14:textId="77777777" w:rsidR="004C0355" w:rsidRPr="000F327C" w:rsidRDefault="004C0355" w:rsidP="00784BA3">
            <w:pPr>
              <w:pStyle w:val="cDate2"/>
              <w:keepNext/>
            </w:pPr>
            <w:smartTag w:uri="urn:schemas-microsoft-com:office:smarttags" w:element="date">
              <w:smartTagPr>
                <w:attr w:name="Year" w:val="2003"/>
                <w:attr w:name="Day" w:val="13"/>
                <w:attr w:name="Month" w:val="10"/>
              </w:smartTagPr>
              <w:r w:rsidRPr="000F327C">
                <w:t>10-13-03</w:t>
              </w:r>
            </w:smartTag>
          </w:p>
        </w:tc>
      </w:tr>
    </w:tbl>
    <w:p w14:paraId="1434F47A" w14:textId="77777777" w:rsidR="00682387" w:rsidRPr="000F327C" w:rsidRDefault="004C0355">
      <w:pPr>
        <w:pStyle w:val="ctext"/>
      </w:pPr>
      <w:r w:rsidRPr="000F327C">
        <w:t>Reimbursement for hyperalimentation services is based on the amount billed not to exceed the Title XIX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682387" w:rsidRPr="000F327C" w14:paraId="7313D61F" w14:textId="77777777" w:rsidTr="00682387">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E939DA9" w14:textId="77777777" w:rsidR="00682387" w:rsidRPr="000F327C" w:rsidRDefault="00682387">
            <w:pPr>
              <w:pStyle w:val="chead2"/>
            </w:pPr>
            <w:bookmarkStart w:id="73" w:name="_Toc199229742"/>
            <w:r w:rsidRPr="000F327C">
              <w:t>231.010</w:t>
            </w:r>
            <w:r w:rsidRPr="000F327C">
              <w:tab/>
              <w:t>Fee Schedules</w:t>
            </w:r>
            <w:bookmarkEnd w:id="73"/>
          </w:p>
        </w:tc>
        <w:tc>
          <w:tcPr>
            <w:tcW w:w="1238" w:type="dxa"/>
            <w:tcBorders>
              <w:top w:val="single" w:sz="2" w:space="0" w:color="FFFFFF"/>
              <w:left w:val="single" w:sz="6" w:space="0" w:color="FFFFFF"/>
              <w:bottom w:val="single" w:sz="2" w:space="0" w:color="FFFFFF"/>
              <w:right w:val="single" w:sz="2" w:space="0" w:color="FFFFFF"/>
            </w:tcBorders>
            <w:hideMark/>
          </w:tcPr>
          <w:p w14:paraId="10143A78" w14:textId="77777777" w:rsidR="00682387" w:rsidRPr="000F327C" w:rsidRDefault="00682387">
            <w:pPr>
              <w:pStyle w:val="cDate2"/>
            </w:pPr>
            <w:r w:rsidRPr="000F327C">
              <w:t>12-1-12</w:t>
            </w:r>
          </w:p>
        </w:tc>
      </w:tr>
    </w:tbl>
    <w:p w14:paraId="5B0A5CDE" w14:textId="77777777" w:rsidR="00682387" w:rsidRPr="000F327C" w:rsidRDefault="00682387" w:rsidP="00682387">
      <w:pPr>
        <w:pStyle w:val="ctext"/>
      </w:pPr>
      <w:r w:rsidRPr="000F327C">
        <w:t xml:space="preserve">Arkansas Medicaid provides fee schedules on the Arkansas Medicaid website.  The fee schedule link is located at </w:t>
      </w:r>
      <w:hyperlink r:id="rId17" w:history="1">
        <w:r w:rsidRPr="000F327C">
          <w:rPr>
            <w:rStyle w:val="Hyperlink"/>
          </w:rPr>
          <w:t>https://</w:t>
        </w:r>
        <w:r w:rsidR="00675F75" w:rsidRPr="000F327C">
          <w:rPr>
            <w:rStyle w:val="Hyperlink"/>
          </w:rPr>
          <w:t>medicaid.mmis.arkansas.gov</w:t>
        </w:r>
      </w:hyperlink>
      <w:r w:rsidRPr="000F327C">
        <w:t xml:space="preserve"> under the provider manual section.  The fees represent the fee-for-service reimbursement methodology.  </w:t>
      </w:r>
    </w:p>
    <w:p w14:paraId="3799A95C" w14:textId="77777777" w:rsidR="00682387" w:rsidRPr="000F327C" w:rsidRDefault="00682387" w:rsidP="00682387">
      <w:pPr>
        <w:pStyle w:val="ctext"/>
      </w:pPr>
      <w:r w:rsidRPr="000F327C">
        <w:t xml:space="preserve">Fee schedules do not address coverage limitations or special instructions applied by Arkansas Medicaid before final payment is determined. </w:t>
      </w:r>
    </w:p>
    <w:p w14:paraId="1D02F9CD" w14:textId="77777777" w:rsidR="00682387" w:rsidRPr="000F327C" w:rsidRDefault="00682387" w:rsidP="00682387">
      <w:pPr>
        <w:pStyle w:val="ctext"/>
      </w:pPr>
      <w:r w:rsidRPr="000F327C">
        <w:t xml:space="preserve">Procedure codes and/or fee schedules do not guarantee payment, coverage or amount allowed.  Information may be changed or updated at any time to correct a discrepancy and/or error.  Arkansas Medicaid always reimburses the </w:t>
      </w:r>
      <w:proofErr w:type="gramStart"/>
      <w:r w:rsidRPr="000F327C">
        <w:t>lesser of the</w:t>
      </w:r>
      <w:proofErr w:type="gramEnd"/>
      <w:r w:rsidRPr="000F327C">
        <w:t xml:space="preserv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0355" w:rsidRPr="000F327C" w14:paraId="3C6145C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635FCF9" w14:textId="77777777" w:rsidR="004C0355" w:rsidRPr="000F327C" w:rsidRDefault="004C0355">
            <w:pPr>
              <w:pStyle w:val="chead2"/>
            </w:pPr>
            <w:bookmarkStart w:id="74" w:name="_Toc199229743"/>
            <w:r w:rsidRPr="000F327C">
              <w:t>232.000</w:t>
            </w:r>
            <w:r w:rsidRPr="000F327C">
              <w:tab/>
              <w:t>Rate Appeal Process</w:t>
            </w:r>
            <w:bookmarkEnd w:id="74"/>
          </w:p>
        </w:tc>
        <w:tc>
          <w:tcPr>
            <w:tcW w:w="1238" w:type="dxa"/>
            <w:tcBorders>
              <w:top w:val="single" w:sz="2" w:space="0" w:color="FFFFFF"/>
              <w:left w:val="single" w:sz="6" w:space="0" w:color="FFFFFF"/>
              <w:bottom w:val="single" w:sz="2" w:space="0" w:color="FFFFFF"/>
              <w:right w:val="single" w:sz="2" w:space="0" w:color="FFFFFF"/>
            </w:tcBorders>
          </w:tcPr>
          <w:p w14:paraId="3036AB95" w14:textId="77777777" w:rsidR="004C0355" w:rsidRPr="000F327C" w:rsidRDefault="004C0355">
            <w:pPr>
              <w:pStyle w:val="cDate2"/>
            </w:pPr>
            <w:smartTag w:uri="urn:schemas-microsoft-com:office:smarttags" w:element="date">
              <w:smartTagPr>
                <w:attr w:name="Month" w:val="10"/>
                <w:attr w:name="Day" w:val="13"/>
                <w:attr w:name="Year" w:val="2003"/>
              </w:smartTagPr>
              <w:r w:rsidRPr="000F327C">
                <w:t>10-13-03</w:t>
              </w:r>
            </w:smartTag>
          </w:p>
        </w:tc>
      </w:tr>
    </w:tbl>
    <w:p w14:paraId="7ABEA42D" w14:textId="77777777" w:rsidR="004C0355" w:rsidRPr="000F327C" w:rsidRDefault="004C0355">
      <w:pPr>
        <w:pStyle w:val="ctext"/>
      </w:pPr>
      <w:r w:rsidRPr="000F327C">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7EAD5E16" w14:textId="77777777" w:rsidR="004C0355" w:rsidRPr="000F327C" w:rsidRDefault="004C0355">
      <w:pPr>
        <w:pStyle w:val="ctext"/>
      </w:pPr>
      <w:r w:rsidRPr="000F327C">
        <w:t>When the provider disagrees with the decision of the Assistant Director of the Division of Medical Services, the provider may appeal the question to a standing rate review panel established by the Director of the Division of Medical Services.  The rate review panel will include one member of the Division of Medical Services, a representative of the provider association and a member of the Department of Human Services (DHS) management staff, who will serve as chairperson.</w:t>
      </w:r>
    </w:p>
    <w:p w14:paraId="5BFF690D" w14:textId="77777777" w:rsidR="004C0355" w:rsidRPr="000F327C" w:rsidRDefault="004C0355">
      <w:pPr>
        <w:pStyle w:val="ctext"/>
      </w:pPr>
      <w:r w:rsidRPr="000F327C">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w:t>
      </w:r>
      <w:proofErr w:type="gramStart"/>
      <w:r w:rsidRPr="000F327C">
        <w:t>receipt of</w:t>
      </w:r>
      <w:proofErr w:type="gramEnd"/>
      <w:r w:rsidRPr="000F327C">
        <w:t xml:space="preserve"> a request for such </w:t>
      </w:r>
      <w:proofErr w:type="gramStart"/>
      <w:r w:rsidRPr="000F327C">
        <w:t>appeal</w:t>
      </w:r>
      <w:proofErr w:type="gramEnd"/>
      <w:r w:rsidRPr="000F327C">
        <w:t xml:space="preserve">.  The </w:t>
      </w:r>
      <w:proofErr w:type="gramStart"/>
      <w:r w:rsidRPr="000F327C">
        <w:t>question(s)</w:t>
      </w:r>
      <w:proofErr w:type="gramEnd"/>
      <w:r w:rsidRPr="000F327C">
        <w:t xml:space="preserve"> will be heard by the panel and a recommendation will be submitted to the Director of the Division of Medical Services.</w:t>
      </w:r>
    </w:p>
    <w:p w14:paraId="706E09B0" w14:textId="77777777" w:rsidR="004C0355" w:rsidRPr="000F327C" w:rsidRDefault="004C0355" w:rsidP="00BE0AF5">
      <w:pPr>
        <w:pStyle w:val="ctablespace"/>
      </w:pPr>
    </w:p>
    <w:tbl>
      <w:tblPr>
        <w:tblW w:w="9360" w:type="dxa"/>
        <w:tblLook w:val="0000" w:firstRow="0" w:lastRow="0" w:firstColumn="0" w:lastColumn="0" w:noHBand="0" w:noVBand="0"/>
      </w:tblPr>
      <w:tblGrid>
        <w:gridCol w:w="8122"/>
        <w:gridCol w:w="1238"/>
      </w:tblGrid>
      <w:tr w:rsidR="004C0355" w:rsidRPr="000F327C" w14:paraId="6CB854B3" w14:textId="77777777" w:rsidTr="005311EF">
        <w:tblPrEx>
          <w:tblCellMar>
            <w:top w:w="0" w:type="dxa"/>
            <w:bottom w:w="0" w:type="dxa"/>
          </w:tblCellMar>
        </w:tblPrEx>
        <w:trPr>
          <w:cantSplit/>
        </w:trPr>
        <w:tc>
          <w:tcPr>
            <w:tcW w:w="8122" w:type="dxa"/>
            <w:shd w:val="clear" w:color="auto" w:fill="1D73D6"/>
          </w:tcPr>
          <w:p w14:paraId="48768957" w14:textId="77777777" w:rsidR="004C0355" w:rsidRPr="000F327C" w:rsidRDefault="004C0355">
            <w:pPr>
              <w:pStyle w:val="chead1"/>
            </w:pPr>
            <w:bookmarkStart w:id="75" w:name="_Toc199229744"/>
            <w:r w:rsidRPr="000F327C">
              <w:t>240.000</w:t>
            </w:r>
            <w:r w:rsidRPr="000F327C">
              <w:tab/>
              <w:t>BILLING PROCEDURES</w:t>
            </w:r>
            <w:bookmarkEnd w:id="75"/>
          </w:p>
        </w:tc>
        <w:tc>
          <w:tcPr>
            <w:tcW w:w="1238" w:type="dxa"/>
            <w:shd w:val="clear" w:color="auto" w:fill="1D73D6"/>
            <w:vAlign w:val="center"/>
          </w:tcPr>
          <w:p w14:paraId="067FB7BC" w14:textId="77777777" w:rsidR="004C0355" w:rsidRPr="000F327C" w:rsidRDefault="004C0355">
            <w:pPr>
              <w:pStyle w:val="cDate1"/>
              <w:rPr>
                <w:bCs/>
              </w:rPr>
            </w:pPr>
          </w:p>
        </w:tc>
      </w:tr>
      <w:tr w:rsidR="008759CD" w:rsidRPr="000F327C" w14:paraId="0AC130FE" w14:textId="77777777" w:rsidTr="006F3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76965A13" w14:textId="77777777" w:rsidR="008759CD" w:rsidRPr="000F327C" w:rsidRDefault="008759CD" w:rsidP="008759CD">
            <w:pPr>
              <w:pStyle w:val="chead2"/>
            </w:pPr>
            <w:bookmarkStart w:id="76" w:name="_Toc199229745"/>
            <w:r w:rsidRPr="000F327C">
              <w:t>241.000</w:t>
            </w:r>
            <w:r w:rsidRPr="000F327C">
              <w:tab/>
              <w:t>Introduction to Billing</w:t>
            </w:r>
            <w:bookmarkEnd w:id="76"/>
          </w:p>
        </w:tc>
        <w:tc>
          <w:tcPr>
            <w:tcW w:w="1238" w:type="dxa"/>
            <w:tcBorders>
              <w:top w:val="nil"/>
              <w:left w:val="single" w:sz="6" w:space="0" w:color="FFFFFF"/>
              <w:bottom w:val="single" w:sz="2" w:space="0" w:color="FFFFFF"/>
              <w:right w:val="single" w:sz="2" w:space="0" w:color="FFFFFF"/>
            </w:tcBorders>
          </w:tcPr>
          <w:p w14:paraId="010A7F45" w14:textId="77777777" w:rsidR="008759CD" w:rsidRPr="000F327C" w:rsidRDefault="008759CD" w:rsidP="008759CD">
            <w:pPr>
              <w:pStyle w:val="cDate2"/>
            </w:pPr>
            <w:r w:rsidRPr="000F327C">
              <w:t>7-1-20</w:t>
            </w:r>
          </w:p>
        </w:tc>
      </w:tr>
    </w:tbl>
    <w:p w14:paraId="30813939" w14:textId="77777777" w:rsidR="008759CD" w:rsidRPr="000F327C" w:rsidRDefault="008759CD" w:rsidP="006F35E4">
      <w:pPr>
        <w:pStyle w:val="ctext"/>
      </w:pPr>
      <w:r w:rsidRPr="000F327C">
        <w:lastRenderedPageBreak/>
        <w:t>Hyperalimentation providers use the CMS-1500 form to bill the Arkansas Medicaid Program on paper for services provided to Medicaid beneficiaries.  Each claim may contain charges for only one (1) beneficiary.</w:t>
      </w:r>
    </w:p>
    <w:p w14:paraId="687D007B" w14:textId="77777777" w:rsidR="008759CD" w:rsidRPr="000F327C" w:rsidRDefault="008759CD" w:rsidP="008759CD">
      <w:pPr>
        <w:pStyle w:val="ctext"/>
      </w:pPr>
      <w:r w:rsidRPr="000F327C">
        <w:t>Section III of this manual contains information about available options for electronic claim submission.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25001" w:rsidRPr="000F327C" w14:paraId="2BBFDF9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E885CCB" w14:textId="77777777" w:rsidR="00525001" w:rsidRPr="000F327C" w:rsidRDefault="00525001" w:rsidP="004C0355">
            <w:pPr>
              <w:pStyle w:val="chead2"/>
            </w:pPr>
            <w:bookmarkStart w:id="77" w:name="_Toc199229746"/>
            <w:r w:rsidRPr="000F327C">
              <w:t>242.000</w:t>
            </w:r>
            <w:r w:rsidRPr="000F327C">
              <w:tab/>
              <w:t>CMS-1500 Billing Procedures</w:t>
            </w:r>
            <w:bookmarkEnd w:id="77"/>
          </w:p>
        </w:tc>
        <w:tc>
          <w:tcPr>
            <w:tcW w:w="1238" w:type="dxa"/>
            <w:tcBorders>
              <w:top w:val="single" w:sz="2" w:space="0" w:color="FFFFFF"/>
              <w:left w:val="single" w:sz="6" w:space="0" w:color="FFFFFF"/>
              <w:bottom w:val="single" w:sz="2" w:space="0" w:color="FFFFFF"/>
              <w:right w:val="single" w:sz="2" w:space="0" w:color="FFFFFF"/>
            </w:tcBorders>
          </w:tcPr>
          <w:p w14:paraId="705C9B54" w14:textId="77777777" w:rsidR="00525001" w:rsidRPr="000F327C" w:rsidRDefault="00525001" w:rsidP="004C0355">
            <w:pPr>
              <w:pStyle w:val="cDate2"/>
            </w:pPr>
          </w:p>
        </w:tc>
      </w:tr>
      <w:tr w:rsidR="00525001" w:rsidRPr="000F327C" w14:paraId="72E1317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AF0E031" w14:textId="77777777" w:rsidR="00525001" w:rsidRPr="000F327C" w:rsidRDefault="00525001" w:rsidP="004C0355">
            <w:pPr>
              <w:pStyle w:val="chead2"/>
            </w:pPr>
            <w:bookmarkStart w:id="78" w:name="_Toc199229747"/>
            <w:r w:rsidRPr="000F327C">
              <w:t>242.100</w:t>
            </w:r>
            <w:r w:rsidRPr="000F327C">
              <w:tab/>
              <w:t>Hyperalimentation Procedure Codes</w:t>
            </w:r>
            <w:bookmarkEnd w:id="78"/>
          </w:p>
        </w:tc>
        <w:tc>
          <w:tcPr>
            <w:tcW w:w="1238" w:type="dxa"/>
            <w:tcBorders>
              <w:top w:val="single" w:sz="2" w:space="0" w:color="FFFFFF"/>
              <w:left w:val="single" w:sz="6" w:space="0" w:color="FFFFFF"/>
              <w:bottom w:val="single" w:sz="2" w:space="0" w:color="FFFFFF"/>
              <w:right w:val="single" w:sz="2" w:space="0" w:color="FFFFFF"/>
            </w:tcBorders>
          </w:tcPr>
          <w:p w14:paraId="05D5B72F" w14:textId="77777777" w:rsidR="00525001" w:rsidRPr="000F327C" w:rsidRDefault="00525001" w:rsidP="004C0355">
            <w:pPr>
              <w:pStyle w:val="cDate2"/>
            </w:pPr>
            <w:smartTag w:uri="urn:schemas-microsoft-com:office:smarttags" w:element="date">
              <w:smartTagPr>
                <w:attr w:name="Month" w:val="8"/>
                <w:attr w:name="Day" w:val="1"/>
                <w:attr w:name="Year" w:val="2005"/>
              </w:smartTagPr>
              <w:r w:rsidRPr="000F327C">
                <w:t>8-1-05</w:t>
              </w:r>
            </w:smartTag>
          </w:p>
        </w:tc>
      </w:tr>
    </w:tbl>
    <w:p w14:paraId="443335DD" w14:textId="77777777" w:rsidR="00525001" w:rsidRPr="000F327C" w:rsidRDefault="00525001" w:rsidP="00525001">
      <w:pPr>
        <w:pStyle w:val="ctext"/>
      </w:pPr>
      <w:r w:rsidRPr="000F327C">
        <w:t>The following procedure codes must be used to bill for hyperalimentation services.</w:t>
      </w:r>
    </w:p>
    <w:p w14:paraId="7BA62989" w14:textId="77777777" w:rsidR="00525001" w:rsidRPr="000F327C" w:rsidRDefault="00525001" w:rsidP="00525001">
      <w:pPr>
        <w:pStyle w:val="ctext"/>
      </w:pPr>
      <w:r w:rsidRPr="000F327C">
        <w:t>Formulas may not be purchased under the Prosthetics Program and the Hyperalimentation Program for the same beneficiary during the same period.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E1A34" w:rsidRPr="000F327C" w14:paraId="0471EECC" w14:textId="77777777" w:rsidTr="00F612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0946D33" w14:textId="77777777" w:rsidR="006E1A34" w:rsidRPr="000F327C" w:rsidRDefault="006E1A34" w:rsidP="00F61277">
            <w:pPr>
              <w:pStyle w:val="chead2"/>
              <w:keepNext/>
            </w:pPr>
            <w:bookmarkStart w:id="79" w:name="_Toc111622528"/>
            <w:bookmarkStart w:id="80" w:name="_Toc199229748"/>
            <w:r w:rsidRPr="000F327C">
              <w:t>242.110</w:t>
            </w:r>
            <w:r w:rsidRPr="000F327C">
              <w:tab/>
            </w:r>
            <w:r w:rsidR="00E80E7E" w:rsidRPr="000F327C">
              <w:t>Parenteral Hyperalimentation Services</w:t>
            </w:r>
            <w:bookmarkEnd w:id="79"/>
            <w:bookmarkEnd w:id="80"/>
          </w:p>
        </w:tc>
        <w:tc>
          <w:tcPr>
            <w:tcW w:w="1238" w:type="dxa"/>
            <w:tcBorders>
              <w:top w:val="single" w:sz="2" w:space="0" w:color="FFFFFF"/>
              <w:left w:val="single" w:sz="6" w:space="0" w:color="FFFFFF"/>
              <w:bottom w:val="single" w:sz="2" w:space="0" w:color="FFFFFF"/>
              <w:right w:val="single" w:sz="2" w:space="0" w:color="FFFFFF"/>
            </w:tcBorders>
          </w:tcPr>
          <w:p w14:paraId="492DFDE4" w14:textId="77777777" w:rsidR="006E1A34" w:rsidRPr="000F327C" w:rsidRDefault="00E80E7E" w:rsidP="00F61277">
            <w:pPr>
              <w:pStyle w:val="cDate2"/>
              <w:keepNext/>
            </w:pPr>
            <w:r w:rsidRPr="000F327C">
              <w:t>2-1-22</w:t>
            </w:r>
          </w:p>
        </w:tc>
      </w:tr>
    </w:tbl>
    <w:p w14:paraId="21E2A8DB" w14:textId="77777777" w:rsidR="00E80E7E" w:rsidRPr="000F327C" w:rsidRDefault="00E80E7E" w:rsidP="00E80E7E">
      <w:pPr>
        <w:pStyle w:val="ctext"/>
        <w:tabs>
          <w:tab w:val="left" w:pos="1008"/>
        </w:tabs>
      </w:pPr>
      <w:r w:rsidRPr="000F327C">
        <w:t xml:space="preserve">One unit of service equals a </w:t>
      </w:r>
      <w:proofErr w:type="gramStart"/>
      <w:r w:rsidRPr="000F327C">
        <w:t>half-liter</w:t>
      </w:r>
      <w:proofErr w:type="gramEnd"/>
      <w:r w:rsidRPr="000F327C">
        <w:t xml:space="preserve"> of fluid and includes fluids and the equipment and supplies necessary for the administration of the fluids in the beneficiary’s place of residence.</w:t>
      </w:r>
    </w:p>
    <w:p w14:paraId="0F749B80" w14:textId="77777777" w:rsidR="005C20FD" w:rsidRPr="000F327C" w:rsidRDefault="00E80E7E" w:rsidP="00E80E7E">
      <w:pPr>
        <w:pStyle w:val="ctext"/>
        <w:tabs>
          <w:tab w:val="left" w:pos="1008"/>
        </w:tabs>
      </w:pPr>
      <w:hyperlink r:id="rId18" w:history="1">
        <w:r w:rsidRPr="000F327C">
          <w:rPr>
            <w:rStyle w:val="Hyperlink"/>
          </w:rPr>
          <w:t>View or print the procedure codes for Hyperalimentation services.</w:t>
        </w:r>
      </w:hyperlink>
    </w:p>
    <w:tbl>
      <w:tblPr>
        <w:tblW w:w="9360" w:type="dxa"/>
        <w:tblInd w:w="111"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9A3A56" w:rsidRPr="000F327C" w14:paraId="58967BE9" w14:textId="77777777" w:rsidTr="00E80E7E">
        <w:trPr>
          <w:cantSplit/>
        </w:trPr>
        <w:tc>
          <w:tcPr>
            <w:tcW w:w="8122" w:type="dxa"/>
            <w:hideMark/>
          </w:tcPr>
          <w:p w14:paraId="077E2AFC" w14:textId="77777777" w:rsidR="009A3A56" w:rsidRPr="000F327C" w:rsidRDefault="009A3A56" w:rsidP="00683B8A">
            <w:pPr>
              <w:pStyle w:val="chead2"/>
            </w:pPr>
            <w:bookmarkStart w:id="81" w:name="_Toc199229749"/>
            <w:r w:rsidRPr="000F327C">
              <w:t>242.120</w:t>
            </w:r>
            <w:r w:rsidRPr="000F327C">
              <w:tab/>
            </w:r>
            <w:r w:rsidR="00E80E7E" w:rsidRPr="000F327C">
              <w:t>Enteral (Sole Source) Formulae</w:t>
            </w:r>
            <w:bookmarkEnd w:id="81"/>
          </w:p>
        </w:tc>
        <w:tc>
          <w:tcPr>
            <w:tcW w:w="1238" w:type="dxa"/>
            <w:hideMark/>
          </w:tcPr>
          <w:p w14:paraId="0E43C2D7" w14:textId="77777777" w:rsidR="009A3A56" w:rsidRPr="000F327C" w:rsidRDefault="00E80E7E" w:rsidP="00683B8A">
            <w:pPr>
              <w:pStyle w:val="cDate2"/>
            </w:pPr>
            <w:r w:rsidRPr="000F327C">
              <w:t>2-1-22</w:t>
            </w:r>
          </w:p>
        </w:tc>
      </w:tr>
    </w:tbl>
    <w:p w14:paraId="201C7044" w14:textId="77777777" w:rsidR="00E80E7E" w:rsidRPr="000F327C" w:rsidRDefault="00E80E7E" w:rsidP="00E80E7E">
      <w:pPr>
        <w:pStyle w:val="ctext"/>
      </w:pPr>
      <w:r w:rsidRPr="000F327C">
        <w:t>The following pages provide the enteral formula HCPCS procedure codes, any associated modifiers, code descriptions, and the formula covered for each HCPCS code.  The code description lists the formula included in the category of nutrients.</w:t>
      </w:r>
    </w:p>
    <w:p w14:paraId="7E0B9347" w14:textId="77777777" w:rsidR="00E80E7E" w:rsidRPr="000F327C" w:rsidRDefault="00E80E7E" w:rsidP="00E80E7E">
      <w:pPr>
        <w:pStyle w:val="ctext"/>
      </w:pPr>
      <w:r w:rsidRPr="000F327C">
        <w:t>Modifiers in this section are indicated by the headings M1, M2, and M3.</w:t>
      </w:r>
    </w:p>
    <w:p w14:paraId="1D1DFBF0" w14:textId="77777777" w:rsidR="00E80E7E" w:rsidRPr="000F327C" w:rsidRDefault="00E80E7E" w:rsidP="00E80E7E">
      <w:pPr>
        <w:pStyle w:val="ctext"/>
      </w:pPr>
      <w:r w:rsidRPr="000F327C">
        <w:t xml:space="preserve">Enteral formulae are divided into several categories.  Each unit of service equals </w:t>
      </w:r>
      <w:proofErr w:type="gramStart"/>
      <w:r w:rsidRPr="000F327C">
        <w:t>one-hundred</w:t>
      </w:r>
      <w:proofErr w:type="gramEnd"/>
      <w:r w:rsidRPr="000F327C">
        <w:t xml:space="preserve"> (100) calories of formula.  All supplies and equipment necessary to administer the nutrients in the beneficiary’s place of residence, except the infusion pump and pump supply kit, are included in the unit description.</w:t>
      </w:r>
    </w:p>
    <w:p w14:paraId="2256E474" w14:textId="77777777" w:rsidR="00E80E7E" w:rsidRPr="000F327C" w:rsidRDefault="00E80E7E" w:rsidP="00E80E7E">
      <w:pPr>
        <w:pStyle w:val="ctext"/>
      </w:pPr>
      <w:r w:rsidRPr="000F327C">
        <w:t xml:space="preserve">For beneficiaries from birth through four (4) years of age, the use of modifier </w:t>
      </w:r>
      <w:r w:rsidRPr="000F327C">
        <w:rPr>
          <w:b/>
        </w:rPr>
        <w:t>U8,</w:t>
      </w:r>
      <w:r w:rsidRPr="000F327C">
        <w:t xml:space="preserve"> as well as additional documentation, will be required when a non-WIC formula is </w:t>
      </w:r>
      <w:proofErr w:type="gramStart"/>
      <w:r w:rsidRPr="000F327C">
        <w:t>prescribed</w:t>
      </w:r>
      <w:proofErr w:type="gramEnd"/>
      <w:r w:rsidRPr="000F327C">
        <w:t xml:space="preserve"> or WIC guidelines are not followed when prescribing special formula.</w:t>
      </w:r>
    </w:p>
    <w:p w14:paraId="7A870DCE" w14:textId="77777777" w:rsidR="00E80E7E" w:rsidRPr="000F327C" w:rsidRDefault="00E80E7E" w:rsidP="00E80E7E">
      <w:pPr>
        <w:pStyle w:val="ctext"/>
      </w:pPr>
      <w:r w:rsidRPr="000F327C">
        <w:t>An EPSDT screening, which documents the PCP’s medical rationale for prescribing a formula, as well as medical records documenting the beneficiary’s failed trials of WIC formula, must be submitted for review.  Flavor preference for formulae will not be considered for medical necessity.</w:t>
      </w:r>
    </w:p>
    <w:p w14:paraId="2A29859C" w14:textId="77777777" w:rsidR="00E80E7E" w:rsidRPr="000F327C" w:rsidRDefault="00E80E7E" w:rsidP="00E80E7E">
      <w:pPr>
        <w:pStyle w:val="ctext"/>
      </w:pPr>
      <w:r w:rsidRPr="000F327C">
        <w:t>A separate prior authorization must be obtained for the enteral infusion pump and the pump supply kit.  The enteral infusion pump and the pump supply kit may be billed separately.</w:t>
      </w:r>
    </w:p>
    <w:p w14:paraId="15F76932" w14:textId="77777777" w:rsidR="00E80E7E" w:rsidRPr="000F327C" w:rsidRDefault="00E80E7E" w:rsidP="00E80E7E">
      <w:pPr>
        <w:pStyle w:val="ctext"/>
        <w:tabs>
          <w:tab w:val="left" w:pos="1008"/>
        </w:tabs>
      </w:pPr>
      <w:hyperlink r:id="rId19" w:history="1">
        <w:r w:rsidRPr="000F327C">
          <w:rPr>
            <w:rStyle w:val="Hyperlink"/>
          </w:rPr>
          <w:t>View or print the procedure codes for Hyperalimentation services.</w:t>
        </w:r>
      </w:hyperlink>
    </w:p>
    <w:p w14:paraId="4F8B6D7E" w14:textId="77777777" w:rsidR="00E80E7E" w:rsidRPr="000F327C" w:rsidRDefault="00E80E7E" w:rsidP="00E80E7E">
      <w:pPr>
        <w:pStyle w:val="ctext"/>
      </w:pPr>
      <w:r w:rsidRPr="000F327C">
        <w:rPr>
          <w:b/>
          <w:u w:val="single"/>
        </w:rPr>
        <w:t>Exceptions to Use of Formula</w:t>
      </w:r>
    </w:p>
    <w:p w14:paraId="32F45BCF" w14:textId="77777777" w:rsidR="00E80E7E" w:rsidRPr="000F327C" w:rsidRDefault="00E80E7E" w:rsidP="00E80E7E">
      <w:pPr>
        <w:pStyle w:val="ctext"/>
      </w:pPr>
      <w:r w:rsidRPr="000F327C">
        <w:t xml:space="preserve">The following exceptions must be followed </w:t>
      </w:r>
      <w:proofErr w:type="gramStart"/>
      <w:r w:rsidRPr="000F327C">
        <w:t>in order to</w:t>
      </w:r>
      <w:proofErr w:type="gramEnd"/>
      <w:r w:rsidRPr="000F327C">
        <w:t xml:space="preserve"> use formulae listed in this section.</w:t>
      </w:r>
    </w:p>
    <w:p w14:paraId="6372D04A" w14:textId="77777777" w:rsidR="00E80E7E" w:rsidRPr="000F327C" w:rsidRDefault="00E80E7E" w:rsidP="00E80E7E">
      <w:pPr>
        <w:pStyle w:val="CLETTERED"/>
      </w:pPr>
      <w:r w:rsidRPr="000F327C">
        <w:t>A.</w:t>
      </w:r>
      <w:r w:rsidRPr="000F327C">
        <w:tab/>
      </w:r>
      <w:proofErr w:type="spellStart"/>
      <w:r w:rsidRPr="000F327C">
        <w:t>Nutramigen</w:t>
      </w:r>
      <w:proofErr w:type="spellEnd"/>
      <w:r w:rsidRPr="000F327C">
        <w:t xml:space="preserve"> LIPIL – Sensitivity or allergy to milk or soy protein; chronic diarrhea, food allergies, GI bleeds.  Similac Advance must first have been tried.</w:t>
      </w:r>
    </w:p>
    <w:p w14:paraId="46AD9AA6" w14:textId="77777777" w:rsidR="00E80E7E" w:rsidRPr="000F327C" w:rsidRDefault="00E80E7E" w:rsidP="00E80E7E">
      <w:pPr>
        <w:pStyle w:val="CLETTERED"/>
      </w:pPr>
      <w:r w:rsidRPr="000F327C">
        <w:t>B.</w:t>
      </w:r>
      <w:r w:rsidRPr="000F327C">
        <w:tab/>
      </w:r>
      <w:proofErr w:type="spellStart"/>
      <w:r w:rsidRPr="000F327C">
        <w:t>Nutramigen</w:t>
      </w:r>
      <w:proofErr w:type="spellEnd"/>
      <w:r w:rsidRPr="000F327C">
        <w:t xml:space="preserve"> </w:t>
      </w:r>
      <w:proofErr w:type="spellStart"/>
      <w:r w:rsidRPr="000F327C">
        <w:t>Enflora</w:t>
      </w:r>
      <w:proofErr w:type="spellEnd"/>
      <w:r w:rsidRPr="000F327C">
        <w:t xml:space="preserve"> LGG – Sensitivity or allergy to milk or soy protein; chronic diarrhea, food allergies, GI bleeds.  Similac Advance must first have been tried.</w:t>
      </w:r>
    </w:p>
    <w:p w14:paraId="0D129E23" w14:textId="77777777" w:rsidR="00E80E7E" w:rsidRPr="000F327C" w:rsidRDefault="00E80E7E" w:rsidP="00E80E7E">
      <w:pPr>
        <w:pStyle w:val="CLETTERED"/>
      </w:pPr>
      <w:r w:rsidRPr="000F327C">
        <w:lastRenderedPageBreak/>
        <w:t>C.</w:t>
      </w:r>
      <w:r w:rsidRPr="000F327C">
        <w:tab/>
      </w:r>
      <w:proofErr w:type="spellStart"/>
      <w:r w:rsidRPr="000F327C">
        <w:t>Pregestimil</w:t>
      </w:r>
      <w:proofErr w:type="spellEnd"/>
      <w:r w:rsidRPr="000F327C">
        <w:t xml:space="preserve"> – Allergy to milk or soy protein; chronic diarrhea, short gut; cystic fibrosis, fat malabsorption due to GI, or liver disease.</w:t>
      </w:r>
    </w:p>
    <w:p w14:paraId="1E49514D" w14:textId="77777777" w:rsidR="00E80E7E" w:rsidRPr="000F327C" w:rsidRDefault="00E80E7E" w:rsidP="00E80E7E">
      <w:pPr>
        <w:pStyle w:val="CLETTERED"/>
      </w:pPr>
      <w:r w:rsidRPr="000F327C">
        <w:t>D.</w:t>
      </w:r>
      <w:r w:rsidRPr="000F327C">
        <w:tab/>
        <w:t>Gerber Extensive HA – Allergy to milk or soy protein; severe malnutrition; chronic diarrhea; short bowel syndrome, known or suspected corn allergy.  Similac Advance must first have been tried.</w:t>
      </w:r>
    </w:p>
    <w:p w14:paraId="7DC0AD5E" w14:textId="77777777" w:rsidR="00E80E7E" w:rsidRPr="000F327C" w:rsidRDefault="00E80E7E" w:rsidP="00E80E7E">
      <w:pPr>
        <w:pStyle w:val="CLETTERED"/>
      </w:pPr>
      <w:r w:rsidRPr="000F327C">
        <w:t>E.</w:t>
      </w:r>
      <w:r w:rsidRPr="000F327C">
        <w:tab/>
      </w:r>
      <w:proofErr w:type="spellStart"/>
      <w:r w:rsidRPr="000F327C">
        <w:t>Alfamino</w:t>
      </w:r>
      <w:proofErr w:type="spellEnd"/>
      <w:r w:rsidRPr="000F327C">
        <w:t xml:space="preserve"> Junior – Allergy to cow’s milk, multiple food protein intolerance and food allergy associated conditions:  short bowel syndrome, gastroesophageal reflux disease (GERD), eosinophilic esophagitis, malabsorption, and other GI disorders.  </w:t>
      </w:r>
      <w:proofErr w:type="spellStart"/>
      <w:r w:rsidRPr="000F327C">
        <w:t>Neocate</w:t>
      </w:r>
      <w:proofErr w:type="spellEnd"/>
      <w:r w:rsidRPr="000F327C">
        <w:t xml:space="preserve"> Junior with Prebiotics is intended for children over the age of one (1) year.</w:t>
      </w:r>
    </w:p>
    <w:p w14:paraId="63C7EA67" w14:textId="77777777" w:rsidR="00E80E7E" w:rsidRPr="000F327C" w:rsidRDefault="00E80E7E" w:rsidP="00E80E7E">
      <w:pPr>
        <w:pStyle w:val="CLETTERED"/>
      </w:pPr>
      <w:r w:rsidRPr="000F327C">
        <w:t>F.</w:t>
      </w:r>
      <w:r w:rsidRPr="000F327C">
        <w:tab/>
      </w:r>
      <w:proofErr w:type="spellStart"/>
      <w:r w:rsidRPr="000F327C">
        <w:t>Alfamino</w:t>
      </w:r>
      <w:proofErr w:type="spellEnd"/>
      <w:r w:rsidRPr="000F327C">
        <w:t xml:space="preserve"> Infant – Allergy to cow’s milk, multiple food protein intolerance and food allergy associated conditions:  short bowel syndrome, gastroesophageal reflux disease (GERD), eosinophilic esophagitis, malabsorption, and other GI disorders.  Similac Expert Care </w:t>
      </w:r>
      <w:proofErr w:type="spellStart"/>
      <w:r w:rsidRPr="000F327C">
        <w:t>Alimentum</w:t>
      </w:r>
      <w:proofErr w:type="spellEnd"/>
      <w:r w:rsidRPr="000F327C">
        <w:t xml:space="preserve">, </w:t>
      </w:r>
      <w:proofErr w:type="spellStart"/>
      <w:r w:rsidRPr="000F327C">
        <w:t>Nutramigen</w:t>
      </w:r>
      <w:proofErr w:type="spellEnd"/>
      <w:r w:rsidRPr="000F327C">
        <w:t xml:space="preserve"> or </w:t>
      </w:r>
      <w:proofErr w:type="spellStart"/>
      <w:r w:rsidRPr="000F327C">
        <w:t>Pregestimil</w:t>
      </w:r>
      <w:proofErr w:type="spellEnd"/>
      <w:r w:rsidRPr="000F327C">
        <w:t xml:space="preserve"> must first have been tried.</w:t>
      </w:r>
    </w:p>
    <w:p w14:paraId="077869FB" w14:textId="77777777" w:rsidR="00E80E7E" w:rsidRPr="000F327C" w:rsidRDefault="00E80E7E" w:rsidP="00E80E7E">
      <w:pPr>
        <w:pStyle w:val="CLETTERED"/>
      </w:pPr>
      <w:r w:rsidRPr="000F327C">
        <w:t>G.</w:t>
      </w:r>
      <w:r w:rsidRPr="000F327C">
        <w:tab/>
      </w:r>
      <w:proofErr w:type="spellStart"/>
      <w:r w:rsidRPr="000F327C">
        <w:t>Portagen</w:t>
      </w:r>
      <w:proofErr w:type="spellEnd"/>
      <w:r w:rsidRPr="000F327C">
        <w:t xml:space="preserve"> – Pancreatic insufficiency, bile acid deficiency, or lymphatic anomalies; biliary atresia; liver disease; chylothorax.</w:t>
      </w:r>
    </w:p>
    <w:p w14:paraId="31867FA0" w14:textId="77777777" w:rsidR="00E80E7E" w:rsidRPr="000F327C" w:rsidRDefault="00E80E7E" w:rsidP="00E80E7E">
      <w:pPr>
        <w:pStyle w:val="CLETTERED"/>
      </w:pPr>
      <w:r w:rsidRPr="000F327C">
        <w:t>H.</w:t>
      </w:r>
      <w:r w:rsidRPr="000F327C">
        <w:tab/>
        <w:t>Similac PM 60/40 – Renal, cardiac, or other condition that requires lowered minerals.</w:t>
      </w:r>
    </w:p>
    <w:p w14:paraId="0FDAF4DF" w14:textId="77777777" w:rsidR="00E80E7E" w:rsidRPr="000F327C" w:rsidRDefault="00E80E7E" w:rsidP="00E80E7E">
      <w:pPr>
        <w:pStyle w:val="CLETTERED"/>
      </w:pPr>
      <w:r w:rsidRPr="000F327C">
        <w:t>I.</w:t>
      </w:r>
      <w:r w:rsidRPr="000F327C">
        <w:tab/>
      </w:r>
      <w:proofErr w:type="spellStart"/>
      <w:r w:rsidRPr="000F327C">
        <w:t>Periflex</w:t>
      </w:r>
      <w:proofErr w:type="spellEnd"/>
      <w:r w:rsidRPr="000F327C">
        <w:t xml:space="preserve"> Infant – PKU; Hyperphenylalaninemia; for infants and toddlers.</w:t>
      </w:r>
    </w:p>
    <w:p w14:paraId="5DF0B706" w14:textId="77777777" w:rsidR="00E80E7E" w:rsidRPr="000F327C" w:rsidRDefault="00E80E7E" w:rsidP="00E80E7E">
      <w:pPr>
        <w:pStyle w:val="CLETTERED"/>
      </w:pPr>
      <w:r w:rsidRPr="000F327C">
        <w:t>J.</w:t>
      </w:r>
      <w:r w:rsidRPr="000F327C">
        <w:tab/>
        <w:t xml:space="preserve">PKU </w:t>
      </w:r>
      <w:proofErr w:type="spellStart"/>
      <w:r w:rsidRPr="000F327C">
        <w:t>Periflex</w:t>
      </w:r>
      <w:proofErr w:type="spellEnd"/>
      <w:r w:rsidRPr="000F327C">
        <w:t xml:space="preserve"> Junior Plus – Hyperphenylalaninemia; for children and adults.</w:t>
      </w:r>
    </w:p>
    <w:p w14:paraId="76AA3ADE" w14:textId="77777777" w:rsidR="00E80E7E" w:rsidRPr="000F327C" w:rsidRDefault="00E80E7E" w:rsidP="00E80E7E">
      <w:pPr>
        <w:pStyle w:val="CLETTERED"/>
      </w:pPr>
      <w:r w:rsidRPr="000F327C">
        <w:t>K.</w:t>
      </w:r>
      <w:r w:rsidRPr="000F327C">
        <w:tab/>
        <w:t>Gerber Good Start Premature 24 – Preterm, low birth weight.  Not intended for feeding low birth weight infants after they reach a weight of 3600 g (approximately eight (8) lbs.).  Not approved for an infant previously on term formula or a term infant for increased calories.</w:t>
      </w:r>
    </w:p>
    <w:p w14:paraId="7BA140BE" w14:textId="77777777" w:rsidR="00E80E7E" w:rsidRPr="000F327C" w:rsidRDefault="00E80E7E" w:rsidP="00E80E7E">
      <w:pPr>
        <w:pStyle w:val="CLETTERED"/>
      </w:pPr>
      <w:r w:rsidRPr="000F327C">
        <w:t>L.</w:t>
      </w:r>
      <w:r w:rsidRPr="000F327C">
        <w:tab/>
        <w:t xml:space="preserve">Enfamil </w:t>
      </w:r>
      <w:proofErr w:type="spellStart"/>
      <w:r w:rsidRPr="000F327C">
        <w:t>EnfaCare</w:t>
      </w:r>
      <w:proofErr w:type="spellEnd"/>
      <w:r w:rsidRPr="000F327C">
        <w:t xml:space="preserve"> – Preterm infant transitional formula for use between premature formula and term formula.  Not approved for an infant previously on term formula or a term infant for increased calories.</w:t>
      </w:r>
    </w:p>
    <w:p w14:paraId="743DC104" w14:textId="77777777" w:rsidR="00E80E7E" w:rsidRPr="000F327C" w:rsidRDefault="00E80E7E" w:rsidP="00E80E7E">
      <w:pPr>
        <w:pStyle w:val="Note"/>
      </w:pPr>
      <w:r w:rsidRPr="000F327C">
        <w:t>NOTE:</w:t>
      </w:r>
      <w:r w:rsidRPr="000F327C">
        <w:tab/>
        <w:t>The Women, Infant, and Children program (WIC) must be accessed before the Medicaid Program for children from birth to five (5) years of age.</w:t>
      </w:r>
    </w:p>
    <w:p w14:paraId="0022AA5F" w14:textId="77777777" w:rsidR="000B13DC" w:rsidRPr="000F327C" w:rsidRDefault="00E80E7E" w:rsidP="00E80E7E">
      <w:pPr>
        <w:pStyle w:val="Note"/>
      </w:pPr>
      <w:r w:rsidRPr="000F327C">
        <w:tab/>
        <w:t>The Arkansas Medicaid program mirrors coverage of approved WIC nutritional formulae.  As stated in current policy, the WIC Program must be accessed first for Arkansas Medicaid beneficiaries aged zero (0) to five (5) years, prior to requesting supplemental amounts of WIC-approved nutritional formula.  The Medicaid nutritional formula list will be updated accordingly to continue compliance with the WIC program in Arkansas.  Changes will be reflected in the appropriate Medicaid provider manual.</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3"/>
        <w:gridCol w:w="1105"/>
      </w:tblGrid>
      <w:tr w:rsidR="006E1A34" w:rsidRPr="000F327C" w14:paraId="336923E8" w14:textId="77777777" w:rsidTr="004F4FD2">
        <w:tblPrEx>
          <w:tblCellMar>
            <w:top w:w="0" w:type="dxa"/>
            <w:bottom w:w="0" w:type="dxa"/>
          </w:tblCellMar>
        </w:tblPrEx>
        <w:trPr>
          <w:cantSplit/>
        </w:trPr>
        <w:tc>
          <w:tcPr>
            <w:tcW w:w="8453" w:type="dxa"/>
            <w:tcBorders>
              <w:top w:val="single" w:sz="2" w:space="0" w:color="FFFFFF"/>
              <w:left w:val="single" w:sz="2" w:space="0" w:color="FFFFFF"/>
              <w:bottom w:val="single" w:sz="2" w:space="0" w:color="FFFFFF"/>
              <w:right w:val="single" w:sz="6" w:space="0" w:color="FFFFFF"/>
            </w:tcBorders>
          </w:tcPr>
          <w:p w14:paraId="4CEEB1FD" w14:textId="77777777" w:rsidR="006E1A34" w:rsidRPr="000F327C" w:rsidRDefault="006E1A34" w:rsidP="006E1A34">
            <w:pPr>
              <w:keepNext/>
              <w:tabs>
                <w:tab w:val="left" w:pos="1440"/>
              </w:tabs>
              <w:spacing w:before="240" w:after="60"/>
              <w:ind w:left="1440" w:hanging="1440"/>
              <w:outlineLvl w:val="0"/>
              <w:rPr>
                <w:b/>
                <w:color w:val="1D73D6"/>
              </w:rPr>
            </w:pPr>
            <w:r w:rsidRPr="000F327C">
              <w:rPr>
                <w:b/>
                <w:color w:val="1D73D6"/>
              </w:rPr>
              <w:t>242.130</w:t>
            </w:r>
            <w:r w:rsidRPr="000F327C">
              <w:rPr>
                <w:b/>
                <w:color w:val="1D73D6"/>
              </w:rPr>
              <w:tab/>
            </w:r>
            <w:proofErr w:type="spellStart"/>
            <w:r w:rsidRPr="000F327C">
              <w:rPr>
                <w:b/>
                <w:color w:val="1D73D6"/>
              </w:rPr>
              <w:t>Pedia</w:t>
            </w:r>
            <w:proofErr w:type="spellEnd"/>
            <w:r w:rsidRPr="000F327C">
              <w:rPr>
                <w:b/>
                <w:color w:val="1D73D6"/>
              </w:rPr>
              <w:t>-Pop</w:t>
            </w:r>
          </w:p>
        </w:tc>
        <w:tc>
          <w:tcPr>
            <w:tcW w:w="1105" w:type="dxa"/>
            <w:tcBorders>
              <w:top w:val="single" w:sz="2" w:space="0" w:color="FFFFFF"/>
              <w:left w:val="single" w:sz="6" w:space="0" w:color="FFFFFF"/>
              <w:bottom w:val="single" w:sz="2" w:space="0" w:color="FFFFFF"/>
              <w:right w:val="single" w:sz="2" w:space="0" w:color="FFFFFF"/>
            </w:tcBorders>
          </w:tcPr>
          <w:p w14:paraId="7C2F0895" w14:textId="77777777" w:rsidR="006E1A34" w:rsidRPr="000F327C" w:rsidRDefault="007A0521" w:rsidP="006E1A34">
            <w:pPr>
              <w:keepNext/>
              <w:spacing w:before="240" w:after="60"/>
              <w:jc w:val="right"/>
              <w:rPr>
                <w:b/>
                <w:color w:val="1D73D6"/>
                <w:sz w:val="18"/>
              </w:rPr>
            </w:pPr>
            <w:r w:rsidRPr="000F327C">
              <w:rPr>
                <w:b/>
                <w:color w:val="1D73D6"/>
                <w:sz w:val="18"/>
              </w:rPr>
              <w:t>2-1-22</w:t>
            </w:r>
          </w:p>
        </w:tc>
      </w:tr>
    </w:tbl>
    <w:p w14:paraId="639344C9" w14:textId="77777777" w:rsidR="007A0521" w:rsidRPr="000F327C" w:rsidRDefault="007A0521" w:rsidP="007A0521">
      <w:pPr>
        <w:pStyle w:val="ctext"/>
      </w:pPr>
      <w:r w:rsidRPr="000F327C">
        <w:t xml:space="preserve">The following procedure code must be utilized when billing for </w:t>
      </w:r>
      <w:proofErr w:type="spellStart"/>
      <w:r w:rsidRPr="000F327C">
        <w:t>Pedia</w:t>
      </w:r>
      <w:proofErr w:type="spellEnd"/>
      <w:r w:rsidRPr="000F327C">
        <w:t>-Pop.</w:t>
      </w:r>
    </w:p>
    <w:p w14:paraId="23C2B421" w14:textId="77777777" w:rsidR="007A0521" w:rsidRPr="000F327C" w:rsidRDefault="007A0521" w:rsidP="007A0521">
      <w:pPr>
        <w:pStyle w:val="ctext"/>
        <w:tabs>
          <w:tab w:val="left" w:pos="1008"/>
        </w:tabs>
      </w:pPr>
      <w:hyperlink r:id="rId20" w:history="1">
        <w:r w:rsidRPr="000F327C">
          <w:rPr>
            <w:rStyle w:val="Hyperlink"/>
          </w:rPr>
          <w:t>View or print the procedure codes for Hyperalimentation services.</w:t>
        </w:r>
      </w:hyperlink>
    </w:p>
    <w:p w14:paraId="7F85190C" w14:textId="77777777" w:rsidR="00C709AA" w:rsidRPr="000F327C" w:rsidRDefault="007A0521" w:rsidP="007A0521">
      <w:pPr>
        <w:pStyle w:val="ctext"/>
      </w:pPr>
      <w:r w:rsidRPr="000F327C">
        <w:t xml:space="preserve">Reimbursement for this product is the provider’s </w:t>
      </w:r>
      <w:proofErr w:type="gramStart"/>
      <w:r w:rsidRPr="000F327C">
        <w:t>cost plus</w:t>
      </w:r>
      <w:proofErr w:type="gramEnd"/>
      <w:r w:rsidRPr="000F327C">
        <w:t xml:space="preserve"> ten percent (10%).  </w:t>
      </w:r>
      <w:proofErr w:type="spellStart"/>
      <w:r w:rsidRPr="000F327C">
        <w:t>Pedia</w:t>
      </w:r>
      <w:proofErr w:type="spellEnd"/>
      <w:r w:rsidRPr="000F327C">
        <w:t xml:space="preserve">-Pop is covered for eligible Medicaid beneficiaries of all ages.  </w:t>
      </w:r>
      <w:proofErr w:type="spellStart"/>
      <w:r w:rsidRPr="000F327C">
        <w:t>Pedia</w:t>
      </w:r>
      <w:proofErr w:type="spellEnd"/>
      <w:r w:rsidRPr="000F327C">
        <w:t>-Pop is only for oral consumption in frozen form and may not be appropriate for a hyperalimentation diet.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436"/>
      </w:tblGrid>
      <w:tr w:rsidR="00C709AA" w:rsidRPr="000F327C" w14:paraId="52474CD7" w14:textId="77777777" w:rsidTr="004F4FD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01ED101" w14:textId="77777777" w:rsidR="00C709AA" w:rsidRPr="000F327C" w:rsidRDefault="00C709AA" w:rsidP="00C709AA">
            <w:pPr>
              <w:pStyle w:val="chead2"/>
              <w:keepNext/>
            </w:pPr>
            <w:bookmarkStart w:id="82" w:name="_Toc199229750"/>
            <w:r w:rsidRPr="000F327C">
              <w:lastRenderedPageBreak/>
              <w:t>242.140</w:t>
            </w:r>
            <w:r w:rsidRPr="000F327C">
              <w:tab/>
              <w:t>Hyperalimentation Equipment and Supplies</w:t>
            </w:r>
            <w:bookmarkEnd w:id="82"/>
          </w:p>
        </w:tc>
        <w:tc>
          <w:tcPr>
            <w:tcW w:w="1436" w:type="dxa"/>
            <w:tcBorders>
              <w:top w:val="single" w:sz="2" w:space="0" w:color="FFFFFF"/>
              <w:left w:val="single" w:sz="6" w:space="0" w:color="FFFFFF"/>
              <w:bottom w:val="single" w:sz="2" w:space="0" w:color="FFFFFF"/>
              <w:right w:val="single" w:sz="2" w:space="0" w:color="FFFFFF"/>
            </w:tcBorders>
          </w:tcPr>
          <w:p w14:paraId="2944DFB8" w14:textId="77777777" w:rsidR="00C709AA" w:rsidRPr="000F327C" w:rsidRDefault="00C709AA" w:rsidP="00C709AA">
            <w:pPr>
              <w:pStyle w:val="cDate2"/>
              <w:keepNext/>
            </w:pPr>
          </w:p>
        </w:tc>
      </w:tr>
      <w:tr w:rsidR="002E738F" w:rsidRPr="000F327C" w14:paraId="047273BC" w14:textId="77777777" w:rsidTr="004F4FD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45BBA63" w14:textId="77777777" w:rsidR="002E738F" w:rsidRPr="000F327C" w:rsidRDefault="002E738F" w:rsidP="002E738F">
            <w:pPr>
              <w:pStyle w:val="chead2"/>
              <w:keepNext/>
            </w:pPr>
            <w:bookmarkStart w:id="83" w:name="_Toc199229751"/>
            <w:r w:rsidRPr="000F327C">
              <w:t>242.141</w:t>
            </w:r>
            <w:r w:rsidRPr="000F327C">
              <w:tab/>
              <w:t>Equipment and Supplies for Parenteral Nutrition Therapy</w:t>
            </w:r>
            <w:bookmarkEnd w:id="83"/>
          </w:p>
        </w:tc>
        <w:tc>
          <w:tcPr>
            <w:tcW w:w="1436" w:type="dxa"/>
            <w:tcBorders>
              <w:top w:val="single" w:sz="2" w:space="0" w:color="FFFFFF"/>
              <w:left w:val="single" w:sz="6" w:space="0" w:color="FFFFFF"/>
              <w:bottom w:val="single" w:sz="2" w:space="0" w:color="FFFFFF"/>
              <w:right w:val="single" w:sz="2" w:space="0" w:color="FFFFFF"/>
            </w:tcBorders>
          </w:tcPr>
          <w:p w14:paraId="1E0A191F" w14:textId="77777777" w:rsidR="002E738F" w:rsidRPr="000F327C" w:rsidRDefault="002E738F" w:rsidP="002E738F">
            <w:pPr>
              <w:pStyle w:val="cDate2"/>
              <w:keepNext/>
            </w:pPr>
            <w:smartTag w:uri="urn:schemas-microsoft-com:office:smarttags" w:element="date">
              <w:smartTagPr>
                <w:attr w:name="Year" w:val="2005"/>
                <w:attr w:name="Day" w:val="1"/>
                <w:attr w:name="Month" w:val="9"/>
              </w:smartTagPr>
              <w:r w:rsidRPr="000F327C">
                <w:t>9-1-05</w:t>
              </w:r>
            </w:smartTag>
          </w:p>
        </w:tc>
      </w:tr>
    </w:tbl>
    <w:p w14:paraId="35CEB2FD" w14:textId="77777777" w:rsidR="002E738F" w:rsidRPr="000F327C" w:rsidRDefault="002E738F" w:rsidP="002E738F">
      <w:pPr>
        <w:pStyle w:val="ctext"/>
      </w:pPr>
      <w:r w:rsidRPr="000F327C">
        <w:t>Equipment and supplies necessary for the administration of parenteral nutrition therapy in the beneficiary’s place of residence are included in the unit reimbursement price.  Equipment and supplies may not be billed separately for parenteral hyperalimentation.  See Section 242.110.</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346"/>
      </w:tblGrid>
      <w:tr w:rsidR="00D35E10" w:rsidRPr="000F327C" w14:paraId="2C4A3E85" w14:textId="77777777" w:rsidTr="004F4FD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5B55685" w14:textId="77777777" w:rsidR="00D35E10" w:rsidRPr="000F327C" w:rsidRDefault="00D35E10" w:rsidP="00AC7878">
            <w:pPr>
              <w:pStyle w:val="chead2"/>
              <w:keepNext/>
            </w:pPr>
            <w:bookmarkStart w:id="84" w:name="_Toc129071964"/>
            <w:bookmarkStart w:id="85" w:name="_Toc130806576"/>
            <w:bookmarkStart w:id="86" w:name="_Toc148240034"/>
            <w:bookmarkStart w:id="87" w:name="_Toc199229752"/>
            <w:r w:rsidRPr="000F327C">
              <w:t>242.142</w:t>
            </w:r>
            <w:r w:rsidRPr="000F327C">
              <w:tab/>
            </w:r>
            <w:r w:rsidR="0033115A" w:rsidRPr="000F327C">
              <w:t>Equipment and Supplies for Enteral (Sole Source) Nutrition Therapy</w:t>
            </w:r>
            <w:bookmarkEnd w:id="84"/>
            <w:bookmarkEnd w:id="85"/>
            <w:bookmarkEnd w:id="86"/>
            <w:bookmarkEnd w:id="87"/>
          </w:p>
        </w:tc>
        <w:tc>
          <w:tcPr>
            <w:tcW w:w="1346" w:type="dxa"/>
            <w:tcBorders>
              <w:top w:val="single" w:sz="2" w:space="0" w:color="FFFFFF"/>
              <w:left w:val="single" w:sz="6" w:space="0" w:color="FFFFFF"/>
              <w:bottom w:val="single" w:sz="2" w:space="0" w:color="FFFFFF"/>
              <w:right w:val="single" w:sz="2" w:space="0" w:color="FFFFFF"/>
            </w:tcBorders>
          </w:tcPr>
          <w:p w14:paraId="28C51884" w14:textId="77777777" w:rsidR="00D35E10" w:rsidRPr="000F327C" w:rsidRDefault="0033115A" w:rsidP="00AC7878">
            <w:pPr>
              <w:pStyle w:val="cDate2"/>
              <w:keepNext/>
            </w:pPr>
            <w:r w:rsidRPr="000F327C">
              <w:t>2-1-22</w:t>
            </w:r>
          </w:p>
        </w:tc>
      </w:tr>
    </w:tbl>
    <w:p w14:paraId="374D417E" w14:textId="77777777" w:rsidR="0033115A" w:rsidRPr="000F327C" w:rsidRDefault="0033115A" w:rsidP="0033115A">
      <w:pPr>
        <w:pStyle w:val="ctext"/>
      </w:pPr>
      <w:r w:rsidRPr="000F327C">
        <w:t>Equipment and supplies necessary for the administration of enteral (sole source) nutrition therapy in the beneficiary’s place of residence are included in the unit reimbursement price.  Prior authorization is required for the enteral infusion pump and the pump supply kit and may be billed separately.  The prior authorization request for the pump must contain supporting documentation to establish medical necessity (e.g., gravity feeding is not satisfactory due to aspiration, diarrhea, dumping syndrome, etc.).</w:t>
      </w:r>
    </w:p>
    <w:p w14:paraId="29D65C10" w14:textId="77777777" w:rsidR="0033115A" w:rsidRPr="000F327C" w:rsidRDefault="0033115A" w:rsidP="0033115A">
      <w:pPr>
        <w:pStyle w:val="ctext"/>
      </w:pPr>
      <w:proofErr w:type="gramStart"/>
      <w:r w:rsidRPr="000F327C">
        <w:t>Prior authorization is indicated by the heading PA.</w:t>
      </w:r>
      <w:proofErr w:type="gramEnd"/>
      <w:r w:rsidRPr="000F327C">
        <w:t xml:space="preserve">  If prior authorization is required, that information is indicated with a “Y” in the column; if not, an “N” is shown.</w:t>
      </w:r>
    </w:p>
    <w:p w14:paraId="1F968AC3" w14:textId="77777777" w:rsidR="00D35E10" w:rsidRPr="000F327C" w:rsidRDefault="0033115A" w:rsidP="0033115A">
      <w:pPr>
        <w:pStyle w:val="ctext"/>
      </w:pPr>
      <w:hyperlink r:id="rId21" w:history="1">
        <w:r w:rsidRPr="000F327C">
          <w:rPr>
            <w:rStyle w:val="Hyperlink"/>
          </w:rPr>
          <w:t>View or print the procedure codes for Hyperalimentation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C709AA" w:rsidRPr="000F327C" w14:paraId="510084F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D56101D" w14:textId="77777777" w:rsidR="00C709AA" w:rsidRPr="000F327C" w:rsidRDefault="00C709AA" w:rsidP="00C709AA">
            <w:pPr>
              <w:pStyle w:val="chead2"/>
              <w:keepNext/>
            </w:pPr>
            <w:bookmarkStart w:id="88" w:name="_Toc199229753"/>
            <w:r w:rsidRPr="000F327C">
              <w:t>242.143</w:t>
            </w:r>
            <w:r w:rsidRPr="000F327C">
              <w:tab/>
            </w:r>
            <w:r w:rsidR="00C918A5" w:rsidRPr="000F327C">
              <w:t>Reimbursement for the Enteral (Sole Source) Nutrition Infusion Pump</w:t>
            </w:r>
            <w:bookmarkEnd w:id="88"/>
          </w:p>
        </w:tc>
        <w:tc>
          <w:tcPr>
            <w:tcW w:w="1238" w:type="dxa"/>
            <w:tcBorders>
              <w:top w:val="single" w:sz="2" w:space="0" w:color="FFFFFF"/>
              <w:left w:val="single" w:sz="6" w:space="0" w:color="FFFFFF"/>
              <w:bottom w:val="single" w:sz="2" w:space="0" w:color="FFFFFF"/>
              <w:right w:val="single" w:sz="2" w:space="0" w:color="FFFFFF"/>
            </w:tcBorders>
          </w:tcPr>
          <w:p w14:paraId="19B507FF" w14:textId="77777777" w:rsidR="00C709AA" w:rsidRPr="000F327C" w:rsidRDefault="00C918A5" w:rsidP="00C709AA">
            <w:pPr>
              <w:pStyle w:val="cDate2"/>
              <w:keepNext/>
            </w:pPr>
            <w:r w:rsidRPr="000F327C">
              <w:t>2-1-22</w:t>
            </w:r>
          </w:p>
        </w:tc>
      </w:tr>
    </w:tbl>
    <w:p w14:paraId="1BFB0FCB" w14:textId="77777777" w:rsidR="00C918A5" w:rsidRPr="000F327C" w:rsidRDefault="00C918A5" w:rsidP="00C918A5">
      <w:pPr>
        <w:pStyle w:val="ctext"/>
      </w:pPr>
      <w:r w:rsidRPr="000F327C">
        <w:t>Reimbursement for the enteral (sole source) nutrition infusion pump is based on a rent-to-purchase methodology.  Each unit reimbursed by Medicaid will apply towards the purchase price established by Medicaid.  Reimbursement will only be approved for new equipment.  Used equipment will not be prior authorized.</w:t>
      </w:r>
    </w:p>
    <w:p w14:paraId="09999A78" w14:textId="77777777" w:rsidR="00C918A5" w:rsidRPr="000F327C" w:rsidRDefault="00C918A5" w:rsidP="00C918A5">
      <w:pPr>
        <w:pStyle w:val="ctext"/>
      </w:pPr>
      <w:hyperlink r:id="rId22" w:history="1">
        <w:r w:rsidRPr="000F327C">
          <w:rPr>
            <w:rStyle w:val="Hyperlink"/>
          </w:rPr>
          <w:t>View or print the procedure codes for Hyperalimentation services.</w:t>
        </w:r>
      </w:hyperlink>
    </w:p>
    <w:p w14:paraId="64C79827" w14:textId="77777777" w:rsidR="00C918A5" w:rsidRPr="000F327C" w:rsidRDefault="00C918A5" w:rsidP="00C918A5">
      <w:pPr>
        <w:pStyle w:val="ctext"/>
      </w:pPr>
      <w:r w:rsidRPr="000F327C">
        <w:t>Procedure codes each represent a new piece of equipment being reimbursed by Medicaid on the rent-to-purchase plan.  Both codes are reimbursed on a per unit basis with 1 day equaling 1 unit of service.</w:t>
      </w:r>
    </w:p>
    <w:p w14:paraId="5824F099" w14:textId="77777777" w:rsidR="00C918A5" w:rsidRPr="000F327C" w:rsidRDefault="00C918A5" w:rsidP="00C918A5">
      <w:pPr>
        <w:pStyle w:val="ctext"/>
      </w:pPr>
      <w:r w:rsidRPr="000F327C">
        <w:t xml:space="preserve">The provider may </w:t>
      </w:r>
      <w:proofErr w:type="gramStart"/>
      <w:r w:rsidRPr="000F327C">
        <w:t>bill for</w:t>
      </w:r>
      <w:proofErr w:type="gramEnd"/>
      <w:r w:rsidRPr="000F327C">
        <w:t xml:space="preserve"> the infusion pump at a maximum of one (1) unit of service per day.  Medicaid will reimburse on the rent-to-purchase plan for a total of 304 units of service.  After reimbursement has been made for 304 units, the equipment will become the property of the Medicaid beneficiary.</w:t>
      </w:r>
    </w:p>
    <w:p w14:paraId="1C2F1505" w14:textId="77777777" w:rsidR="00C709AA" w:rsidRPr="000F327C" w:rsidRDefault="00C918A5" w:rsidP="00C918A5">
      <w:pPr>
        <w:pStyle w:val="ctext"/>
      </w:pPr>
      <w:r w:rsidRPr="000F327C">
        <w:t xml:space="preserve">Prior authorization is required for procedure codes.  </w:t>
      </w:r>
      <w:r w:rsidRPr="000F327C">
        <w:rPr>
          <w:u w:val="single"/>
        </w:rPr>
        <w:t>The prior authorization request must include the serial number of the infusion pump being provided to the beneficiary.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709AA" w:rsidRPr="000F327C" w14:paraId="292830C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54628D2" w14:textId="77777777" w:rsidR="00C709AA" w:rsidRPr="000F327C" w:rsidRDefault="00C709AA" w:rsidP="00C709AA">
            <w:pPr>
              <w:pStyle w:val="chead2"/>
              <w:keepNext/>
            </w:pPr>
            <w:bookmarkStart w:id="89" w:name="_Toc111622535"/>
            <w:bookmarkStart w:id="90" w:name="_Toc199229754"/>
            <w:r w:rsidRPr="000F327C">
              <w:t>242.144</w:t>
            </w:r>
            <w:r w:rsidRPr="000F327C">
              <w:tab/>
              <w:t>Reimbursement for the Enteral (Sole Source) Feeding Pump Supply Kit</w:t>
            </w:r>
            <w:bookmarkEnd w:id="89"/>
            <w:bookmarkEnd w:id="90"/>
          </w:p>
        </w:tc>
        <w:tc>
          <w:tcPr>
            <w:tcW w:w="1238" w:type="dxa"/>
            <w:tcBorders>
              <w:top w:val="single" w:sz="2" w:space="0" w:color="FFFFFF"/>
              <w:left w:val="single" w:sz="6" w:space="0" w:color="FFFFFF"/>
              <w:bottom w:val="single" w:sz="2" w:space="0" w:color="FFFFFF"/>
              <w:right w:val="single" w:sz="2" w:space="0" w:color="FFFFFF"/>
            </w:tcBorders>
          </w:tcPr>
          <w:p w14:paraId="7F98EF7B" w14:textId="77777777" w:rsidR="00C709AA" w:rsidRPr="000F327C" w:rsidRDefault="00C709AA" w:rsidP="00C709AA">
            <w:pPr>
              <w:pStyle w:val="cDate2"/>
              <w:keepNext/>
            </w:pPr>
            <w:smartTag w:uri="urn:schemas-microsoft-com:office:smarttags" w:element="date">
              <w:smartTagPr>
                <w:attr w:name="Month" w:val="9"/>
                <w:attr w:name="Day" w:val="1"/>
                <w:attr w:name="Year" w:val="2005"/>
              </w:smartTagPr>
              <w:r w:rsidRPr="000F327C">
                <w:t>9-1-05</w:t>
              </w:r>
            </w:smartTag>
          </w:p>
        </w:tc>
      </w:tr>
    </w:tbl>
    <w:p w14:paraId="05E510B4" w14:textId="77777777" w:rsidR="00C709AA" w:rsidRPr="000F327C" w:rsidRDefault="00C709AA" w:rsidP="00C709AA">
      <w:pPr>
        <w:pStyle w:val="ctext"/>
      </w:pPr>
      <w:r w:rsidRPr="000F327C">
        <w:t>Reimbursement may be made for the pump supply kit necessary for the administration of the nutrients in the beneficiary’s place of residence when the feeding method involves an enteral nutrition infusion pump.</w:t>
      </w:r>
    </w:p>
    <w:p w14:paraId="3FBE6FE7" w14:textId="77777777" w:rsidR="00C709AA" w:rsidRPr="000F327C" w:rsidRDefault="00C709AA" w:rsidP="00C709AA">
      <w:pPr>
        <w:pStyle w:val="ctext"/>
      </w:pPr>
      <w:r w:rsidRPr="000F327C">
        <w:t xml:space="preserve">The pump supply kit and the infusion pump require prior authorization from the Utilization Review Section of the Division of Medical Services.  The enteral feeding pump supply kit is reimbursed on a per unit basis with one (1) day equaling 1 unit of service.  A maximum of 1 unit per day is allowed.  The pump supply kit includes the pump sets, </w:t>
      </w:r>
      <w:proofErr w:type="gramStart"/>
      <w:r w:rsidRPr="000F327C">
        <w:t>containers</w:t>
      </w:r>
      <w:proofErr w:type="gramEnd"/>
      <w:r w:rsidRPr="000F327C">
        <w:t xml:space="preserve"> and syringes necessary for administration of the nutrients.</w:t>
      </w:r>
    </w:p>
    <w:p w14:paraId="07D7D8B3" w14:textId="77777777" w:rsidR="00C709AA" w:rsidRPr="000F327C" w:rsidRDefault="00C709AA" w:rsidP="00C709AA">
      <w:pPr>
        <w:pStyle w:val="ctext"/>
      </w:pPr>
      <w:r w:rsidRPr="000F327C">
        <w:t>All other equipment and supplies are included in the unit price of the nutrient categories and may not be billed separately.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254B8" w:rsidRPr="000F327C" w14:paraId="2F24072E" w14:textId="77777777" w:rsidTr="009E049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EA0EE17" w14:textId="77777777" w:rsidR="008254B8" w:rsidRPr="000F327C" w:rsidRDefault="008254B8" w:rsidP="00BE2C10">
            <w:pPr>
              <w:pStyle w:val="chead2"/>
            </w:pPr>
            <w:bookmarkStart w:id="91" w:name="_Toc111622536"/>
            <w:bookmarkStart w:id="92" w:name="_Toc199229755"/>
            <w:r w:rsidRPr="000F327C">
              <w:lastRenderedPageBreak/>
              <w:t>242.145</w:t>
            </w:r>
            <w:r w:rsidRPr="000F327C">
              <w:tab/>
            </w:r>
            <w:r w:rsidR="00543D63" w:rsidRPr="000F327C">
              <w:t>Equipment Repairs for the Enteral Nutrition Infusion Pump</w:t>
            </w:r>
            <w:bookmarkEnd w:id="91"/>
            <w:bookmarkEnd w:id="92"/>
          </w:p>
        </w:tc>
        <w:tc>
          <w:tcPr>
            <w:tcW w:w="1238" w:type="dxa"/>
            <w:tcBorders>
              <w:top w:val="single" w:sz="2" w:space="0" w:color="FFFFFF"/>
              <w:left w:val="single" w:sz="6" w:space="0" w:color="FFFFFF"/>
              <w:bottom w:val="single" w:sz="2" w:space="0" w:color="FFFFFF"/>
              <w:right w:val="single" w:sz="2" w:space="0" w:color="FFFFFF"/>
            </w:tcBorders>
          </w:tcPr>
          <w:p w14:paraId="7EDAE8DB" w14:textId="77777777" w:rsidR="008254B8" w:rsidRPr="000F327C" w:rsidRDefault="00543D63" w:rsidP="00BE2C10">
            <w:pPr>
              <w:pStyle w:val="cDate2"/>
            </w:pPr>
            <w:r w:rsidRPr="000F327C">
              <w:t>2-1-22</w:t>
            </w:r>
          </w:p>
        </w:tc>
      </w:tr>
    </w:tbl>
    <w:p w14:paraId="14343FAA" w14:textId="77777777" w:rsidR="00543D63" w:rsidRPr="000F327C" w:rsidRDefault="00543D63" w:rsidP="00543D63">
      <w:pPr>
        <w:pStyle w:val="ctext"/>
      </w:pPr>
      <w:r w:rsidRPr="000F327C">
        <w:t>Reimbursement for repairs of the enteral nutrition infusion pump requires prior authorization.  Repairs will be approved only on equipment purchased by Medicaid.  Therefore, no repairs are covered before the equipment becomes the property of the Medicaid beneficiary.</w:t>
      </w:r>
    </w:p>
    <w:p w14:paraId="337B08F7" w14:textId="77777777" w:rsidR="00543D63" w:rsidRPr="000F327C" w:rsidRDefault="00543D63" w:rsidP="00543D63">
      <w:pPr>
        <w:pStyle w:val="ctext"/>
      </w:pPr>
      <w:r w:rsidRPr="000F327C">
        <w:t>Requests for prior authorization for enteral pump repairs must be mailed to the Utilization Review Section, Division of Medical Services as detailed in Section 220.000 of this manual.  The repair invoice and the serial number of the equipment must accompany the prior authorization request form.  Total repair costs to an infusion pump may not exceed $290.93.</w:t>
      </w:r>
    </w:p>
    <w:p w14:paraId="1213CC04" w14:textId="77777777" w:rsidR="00543D63" w:rsidRPr="000F327C" w:rsidRDefault="00543D63" w:rsidP="00543D63">
      <w:pPr>
        <w:pStyle w:val="ctext"/>
      </w:pPr>
      <w:r w:rsidRPr="000F327C">
        <w:t>Medicaid will not reimburse for additional repairs of an infusion pump after the provider has billed repair invoices totaling $290.93.  If, after billing the Medicaid maximum allowed for repairs, the equipment is still not in proper working order, the provider must supply the beneficiary with a new infusion pump and may bill either procedure code after receiving prior authorization for the new piece of equipment.</w:t>
      </w:r>
    </w:p>
    <w:p w14:paraId="1C867897" w14:textId="77777777" w:rsidR="00543D63" w:rsidRPr="000F327C" w:rsidRDefault="00543D63" w:rsidP="00543D63">
      <w:pPr>
        <w:pStyle w:val="ctext"/>
      </w:pPr>
      <w:r w:rsidRPr="000F327C">
        <w:t>To bill the Medicaid Program for repairs made to the enteral infusion pump, use the following procedure code.</w:t>
      </w:r>
    </w:p>
    <w:p w14:paraId="6DCD091A" w14:textId="77777777" w:rsidR="00543D63" w:rsidRPr="000F327C" w:rsidRDefault="00543D63" w:rsidP="00543D63">
      <w:pPr>
        <w:pStyle w:val="ctext"/>
      </w:pPr>
      <w:hyperlink r:id="rId23" w:history="1">
        <w:r w:rsidRPr="000F327C">
          <w:rPr>
            <w:rStyle w:val="Hyperlink"/>
          </w:rPr>
          <w:t>View or print the procedure codes for Hyperalimentation services.</w:t>
        </w:r>
      </w:hyperlink>
    </w:p>
    <w:p w14:paraId="6DE318E3" w14:textId="77777777" w:rsidR="00520CBE" w:rsidRPr="000F327C" w:rsidRDefault="00543D63" w:rsidP="00543D63">
      <w:pPr>
        <w:pStyle w:val="ctext"/>
      </w:pPr>
      <w:r w:rsidRPr="000F327C">
        <w:sym w:font="Wingdings 2" w:char="F0F9"/>
      </w:r>
      <w:r w:rsidRPr="000F327C">
        <w:t>(…)</w:t>
      </w:r>
      <w:r w:rsidRPr="000F327C">
        <w:tab/>
        <w:t>This symbol, along with text in parentheses, indicates the Arkansas Medicaid description of the product.  When using a procedure code with this symbol, the product must meet the Arkansas Medicaid description.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35E10" w:rsidRPr="000F327C" w14:paraId="32AA3471" w14:textId="77777777" w:rsidTr="00AC7878">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C3EB2C7" w14:textId="77777777" w:rsidR="00D35E10" w:rsidRPr="000F327C" w:rsidRDefault="00D35E10" w:rsidP="00AC7878">
            <w:pPr>
              <w:pStyle w:val="chead2"/>
              <w:ind w:left="0" w:firstLine="0"/>
            </w:pPr>
            <w:bookmarkStart w:id="93" w:name="_Toc199229756"/>
            <w:r w:rsidRPr="000F327C">
              <w:t>242.200</w:t>
            </w:r>
            <w:r w:rsidRPr="000F327C">
              <w:tab/>
              <w:t>National Place of Service (POS) Code</w:t>
            </w:r>
            <w:bookmarkEnd w:id="93"/>
          </w:p>
        </w:tc>
        <w:tc>
          <w:tcPr>
            <w:tcW w:w="1238" w:type="dxa"/>
            <w:tcBorders>
              <w:top w:val="single" w:sz="2" w:space="0" w:color="FFFFFF"/>
              <w:left w:val="single" w:sz="6" w:space="0" w:color="FFFFFF"/>
              <w:bottom w:val="single" w:sz="2" w:space="0" w:color="FFFFFF"/>
              <w:right w:val="single" w:sz="2" w:space="0" w:color="FFFFFF"/>
            </w:tcBorders>
          </w:tcPr>
          <w:p w14:paraId="4C5D4EF0" w14:textId="77777777" w:rsidR="00D35E10" w:rsidRPr="000F327C" w:rsidRDefault="00D35E10" w:rsidP="00AC7878">
            <w:pPr>
              <w:pStyle w:val="cDate2"/>
            </w:pPr>
            <w:r w:rsidRPr="000F327C">
              <w:t>7-1-07</w:t>
            </w:r>
          </w:p>
        </w:tc>
      </w:tr>
    </w:tbl>
    <w:p w14:paraId="46AA9211" w14:textId="77777777" w:rsidR="00D35E10" w:rsidRPr="000F327C" w:rsidRDefault="00D35E10" w:rsidP="00D35E10">
      <w:pPr>
        <w:pStyle w:val="ctext"/>
      </w:pPr>
      <w:r w:rsidRPr="000F327C">
        <w:t>The national place of service code is used for both electronic and paper billing.</w:t>
      </w:r>
    </w:p>
    <w:p w14:paraId="18B266CD" w14:textId="77777777" w:rsidR="00D35E10" w:rsidRPr="000F327C" w:rsidRDefault="00D35E10" w:rsidP="00D35E10">
      <w:pPr>
        <w:pStyle w:val="ctablespace"/>
      </w:pPr>
    </w:p>
    <w:tbl>
      <w:tblPr>
        <w:tblW w:w="8903" w:type="dxa"/>
        <w:tblInd w:w="4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366"/>
        <w:gridCol w:w="4537"/>
      </w:tblGrid>
      <w:tr w:rsidR="00D35E10" w:rsidRPr="000F327C" w14:paraId="26CE02BD" w14:textId="77777777" w:rsidTr="00AC7878">
        <w:tblPrEx>
          <w:tblCellMar>
            <w:top w:w="0" w:type="dxa"/>
            <w:bottom w:w="0" w:type="dxa"/>
          </w:tblCellMar>
        </w:tblPrEx>
        <w:trPr>
          <w:cantSplit/>
          <w:tblHeader/>
        </w:trPr>
        <w:tc>
          <w:tcPr>
            <w:tcW w:w="4366" w:type="dxa"/>
          </w:tcPr>
          <w:p w14:paraId="0F1E8B09" w14:textId="77777777" w:rsidR="00D35E10" w:rsidRPr="000F327C" w:rsidRDefault="00D35E10" w:rsidP="00AC7878">
            <w:pPr>
              <w:pStyle w:val="ctableheading"/>
            </w:pPr>
            <w:r w:rsidRPr="000F327C">
              <w:t>Place of Service</w:t>
            </w:r>
          </w:p>
        </w:tc>
        <w:tc>
          <w:tcPr>
            <w:tcW w:w="4533" w:type="dxa"/>
          </w:tcPr>
          <w:p w14:paraId="21C89377" w14:textId="77777777" w:rsidR="00D35E10" w:rsidRPr="000F327C" w:rsidRDefault="00D35E10" w:rsidP="00AC7878">
            <w:pPr>
              <w:pStyle w:val="ctableheading"/>
            </w:pPr>
            <w:r w:rsidRPr="000F327C">
              <w:t>POS Code</w:t>
            </w:r>
          </w:p>
        </w:tc>
      </w:tr>
      <w:tr w:rsidR="00D35E10" w:rsidRPr="000F327C" w14:paraId="4F5EE5A3" w14:textId="77777777" w:rsidTr="00AC7878">
        <w:tblPrEx>
          <w:tblCellMar>
            <w:top w:w="0" w:type="dxa"/>
            <w:bottom w:w="0" w:type="dxa"/>
          </w:tblCellMar>
        </w:tblPrEx>
        <w:trPr>
          <w:cantSplit/>
        </w:trPr>
        <w:tc>
          <w:tcPr>
            <w:tcW w:w="4366" w:type="dxa"/>
          </w:tcPr>
          <w:p w14:paraId="484BE394" w14:textId="77777777" w:rsidR="00D35E10" w:rsidRPr="000F327C" w:rsidRDefault="00D35E10" w:rsidP="00AC7878">
            <w:pPr>
              <w:pStyle w:val="cTableText"/>
            </w:pPr>
            <w:r w:rsidRPr="000F327C">
              <w:t>Patient’s Home</w:t>
            </w:r>
          </w:p>
        </w:tc>
        <w:tc>
          <w:tcPr>
            <w:tcW w:w="4537" w:type="dxa"/>
          </w:tcPr>
          <w:p w14:paraId="22667338" w14:textId="77777777" w:rsidR="00D35E10" w:rsidRPr="000F327C" w:rsidRDefault="00D35E10" w:rsidP="00AC7878">
            <w:pPr>
              <w:pStyle w:val="cTableText"/>
            </w:pPr>
            <w:r w:rsidRPr="000F327C">
              <w:t>12</w:t>
            </w:r>
          </w:p>
        </w:tc>
      </w:tr>
    </w:tbl>
    <w:p w14:paraId="069C8432" w14:textId="77777777" w:rsidR="00D35E10" w:rsidRPr="000F327C" w:rsidRDefault="00D35E10" w:rsidP="00D35E10">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E039F" w:rsidRPr="000F327C" w14:paraId="66DB44B8" w14:textId="77777777" w:rsidTr="003A4A3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D882DCF" w14:textId="77777777" w:rsidR="00AE039F" w:rsidRPr="000F327C" w:rsidRDefault="00AE039F" w:rsidP="003A4A3B">
            <w:pPr>
              <w:pStyle w:val="chead2"/>
              <w:ind w:left="0" w:firstLine="0"/>
            </w:pPr>
            <w:bookmarkStart w:id="94" w:name="_Toc199229757"/>
            <w:r w:rsidRPr="000F327C">
              <w:t>242.300</w:t>
            </w:r>
            <w:r w:rsidRPr="000F327C">
              <w:tab/>
              <w:t>Billing Instructions – Paper Only</w:t>
            </w:r>
            <w:bookmarkEnd w:id="94"/>
          </w:p>
        </w:tc>
        <w:tc>
          <w:tcPr>
            <w:tcW w:w="1238" w:type="dxa"/>
            <w:tcBorders>
              <w:top w:val="single" w:sz="2" w:space="0" w:color="FFFFFF"/>
              <w:left w:val="single" w:sz="6" w:space="0" w:color="FFFFFF"/>
              <w:bottom w:val="single" w:sz="2" w:space="0" w:color="FFFFFF"/>
              <w:right w:val="single" w:sz="2" w:space="0" w:color="FFFFFF"/>
            </w:tcBorders>
          </w:tcPr>
          <w:p w14:paraId="2C522828" w14:textId="77777777" w:rsidR="00AE039F" w:rsidRPr="000F327C" w:rsidRDefault="00AE039F" w:rsidP="003A4A3B">
            <w:pPr>
              <w:pStyle w:val="cDate2"/>
            </w:pPr>
            <w:r w:rsidRPr="000F327C">
              <w:t>11-1-17</w:t>
            </w:r>
          </w:p>
        </w:tc>
      </w:tr>
    </w:tbl>
    <w:p w14:paraId="04E83DE9" w14:textId="77777777" w:rsidR="00AE039F" w:rsidRPr="000F327C" w:rsidRDefault="00AE039F" w:rsidP="00AE039F">
      <w:pPr>
        <w:pStyle w:val="ctext"/>
      </w:pPr>
      <w:r w:rsidRPr="000F327C">
        <w:t xml:space="preserve">Bill Medicaid for professional services </w:t>
      </w:r>
      <w:proofErr w:type="gramStart"/>
      <w:r w:rsidRPr="000F327C">
        <w:t>with form</w:t>
      </w:r>
      <w:proofErr w:type="gramEnd"/>
      <w:r w:rsidRPr="000F327C">
        <w:t xml:space="preserve"> CMS-1500.  The numbered items in the following instructions correspond to the numbered fields on the claim form.  </w:t>
      </w:r>
      <w:hyperlink r:id="rId24" w:history="1">
        <w:r w:rsidRPr="000F327C">
          <w:rPr>
            <w:rStyle w:val="Hyperlink"/>
            <w:rFonts w:eastAsia="MS Mincho"/>
          </w:rPr>
          <w:t xml:space="preserve">View a sample </w:t>
        </w:r>
        <w:proofErr w:type="gramStart"/>
        <w:r w:rsidRPr="000F327C">
          <w:rPr>
            <w:rStyle w:val="Hyperlink"/>
            <w:rFonts w:eastAsia="MS Mincho"/>
          </w:rPr>
          <w:t>form</w:t>
        </w:r>
        <w:proofErr w:type="gramEnd"/>
        <w:r w:rsidRPr="000F327C">
          <w:rPr>
            <w:rStyle w:val="Hyperlink"/>
            <w:rFonts w:eastAsia="MS Mincho"/>
          </w:rPr>
          <w:t xml:space="preserve"> CMS-1500.</w:t>
        </w:r>
      </w:hyperlink>
    </w:p>
    <w:p w14:paraId="5C9BB8CF" w14:textId="77777777" w:rsidR="00AE039F" w:rsidRPr="000F327C" w:rsidRDefault="00AE039F" w:rsidP="00AE039F">
      <w:pPr>
        <w:pStyle w:val="ctext"/>
      </w:pPr>
      <w:r w:rsidRPr="000F327C">
        <w:t xml:space="preserve">Carefully follow these instructions to help the Arkansas Medicaid fiscal agent efficiently process claims.  Accuracy, completeness, and clarity are essential.  Claims cannot be processed if </w:t>
      </w:r>
      <w:proofErr w:type="gramStart"/>
      <w:r w:rsidRPr="000F327C">
        <w:t>necessary</w:t>
      </w:r>
      <w:proofErr w:type="gramEnd"/>
      <w:r w:rsidRPr="000F327C">
        <w:t xml:space="preserve"> information is omitted.</w:t>
      </w:r>
    </w:p>
    <w:p w14:paraId="5D0DBAA2" w14:textId="6038297C" w:rsidR="00AE039F" w:rsidRPr="000F327C" w:rsidRDefault="00AE039F" w:rsidP="00AE039F">
      <w:pPr>
        <w:pStyle w:val="ctext"/>
        <w:rPr>
          <w:rStyle w:val="Hyperlink"/>
          <w:rFonts w:eastAsia="MS Mincho"/>
          <w:b w:val="0"/>
        </w:rPr>
      </w:pPr>
      <w:r w:rsidRPr="000F327C">
        <w:t xml:space="preserve">Forward completed claim forms to the Claims Department.  </w:t>
      </w:r>
      <w:hyperlink r:id="rId25" w:history="1">
        <w:r w:rsidRPr="000F327C">
          <w:rPr>
            <w:rStyle w:val="Hyperlink"/>
            <w:rFonts w:eastAsia="MS Mincho"/>
          </w:rPr>
          <w:t xml:space="preserve">View or </w:t>
        </w:r>
        <w:r w:rsidRPr="000F327C">
          <w:rPr>
            <w:rStyle w:val="Hyperlink"/>
            <w:rFonts w:eastAsia="MS Mincho"/>
          </w:rPr>
          <w:t>p</w:t>
        </w:r>
        <w:r w:rsidRPr="000F327C">
          <w:rPr>
            <w:rStyle w:val="Hyperlink"/>
            <w:rFonts w:eastAsia="MS Mincho"/>
          </w:rPr>
          <w:t>ri</w:t>
        </w:r>
        <w:r w:rsidRPr="000F327C">
          <w:rPr>
            <w:rStyle w:val="Hyperlink"/>
            <w:rFonts w:eastAsia="MS Mincho"/>
          </w:rPr>
          <w:t>n</w:t>
        </w:r>
        <w:r w:rsidRPr="000F327C">
          <w:rPr>
            <w:rStyle w:val="Hyperlink"/>
            <w:rFonts w:eastAsia="MS Mincho"/>
          </w:rPr>
          <w:t>t the Claims Department contact information.</w:t>
        </w:r>
      </w:hyperlink>
    </w:p>
    <w:p w14:paraId="72BDC618" w14:textId="77777777" w:rsidR="00AE039F" w:rsidRPr="000F327C" w:rsidRDefault="00AE039F" w:rsidP="00AE039F">
      <w:pPr>
        <w:pStyle w:val="Note"/>
        <w:ind w:left="1170"/>
      </w:pPr>
      <w:r w:rsidRPr="000F327C">
        <w:t>NOTE:</w:t>
      </w:r>
      <w:r w:rsidRPr="000F327C">
        <w:tab/>
        <w:t xml:space="preserve">A provider delivering services without verifying beneficiary eligibility for each date of service does so at the risk of not being reimbursed for the services.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E1113" w:rsidRPr="000F327C" w14:paraId="31970585" w14:textId="77777777" w:rsidTr="00CD26A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5658079" w14:textId="77777777" w:rsidR="006E1113" w:rsidRPr="000F327C" w:rsidRDefault="006E1113" w:rsidP="00CD26A9">
            <w:pPr>
              <w:pStyle w:val="chead2"/>
            </w:pPr>
            <w:bookmarkStart w:id="95" w:name="_Toc178595035"/>
            <w:bookmarkStart w:id="96" w:name="_Toc342644406"/>
            <w:bookmarkStart w:id="97" w:name="_Toc472072298"/>
            <w:bookmarkStart w:id="98" w:name="_Toc199229758"/>
            <w:r w:rsidRPr="000F327C">
              <w:t>242.310</w:t>
            </w:r>
            <w:r w:rsidRPr="000F327C">
              <w:tab/>
              <w:t>Completion of CMS-1500 Claim Form</w:t>
            </w:r>
            <w:bookmarkEnd w:id="95"/>
            <w:bookmarkEnd w:id="96"/>
            <w:bookmarkEnd w:id="97"/>
            <w:bookmarkEnd w:id="98"/>
          </w:p>
        </w:tc>
        <w:tc>
          <w:tcPr>
            <w:tcW w:w="1238" w:type="dxa"/>
            <w:tcBorders>
              <w:top w:val="single" w:sz="2" w:space="0" w:color="FFFFFF"/>
              <w:left w:val="single" w:sz="6" w:space="0" w:color="FFFFFF"/>
              <w:bottom w:val="single" w:sz="2" w:space="0" w:color="FFFFFF"/>
              <w:right w:val="single" w:sz="2" w:space="0" w:color="FFFFFF"/>
            </w:tcBorders>
          </w:tcPr>
          <w:p w14:paraId="51FEA89A" w14:textId="77777777" w:rsidR="006E1113" w:rsidRPr="000F327C" w:rsidRDefault="006E1113" w:rsidP="00CD26A9">
            <w:pPr>
              <w:pStyle w:val="cDate2"/>
            </w:pPr>
            <w:r w:rsidRPr="000F327C">
              <w:t>9-1-14</w:t>
            </w:r>
          </w:p>
        </w:tc>
      </w:tr>
    </w:tbl>
    <w:p w14:paraId="09BB9689" w14:textId="77777777" w:rsidR="006E1113" w:rsidRPr="000F327C" w:rsidRDefault="006E1113" w:rsidP="006E1113">
      <w:pPr>
        <w:pStyle w:val="ctablespace"/>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622"/>
        <w:gridCol w:w="5232"/>
        <w:gridCol w:w="45"/>
      </w:tblGrid>
      <w:tr w:rsidR="006E1113" w:rsidRPr="000F327C" w14:paraId="3F07826F" w14:textId="77777777" w:rsidTr="00CD26A9">
        <w:trPr>
          <w:gridAfter w:val="1"/>
          <w:wAfter w:w="45" w:type="dxa"/>
          <w:cantSplit/>
          <w:tblHeader/>
        </w:trPr>
        <w:tc>
          <w:tcPr>
            <w:tcW w:w="3622" w:type="dxa"/>
            <w:tcBorders>
              <w:top w:val="single" w:sz="6" w:space="0" w:color="000000"/>
              <w:left w:val="nil"/>
              <w:bottom w:val="single" w:sz="6" w:space="0" w:color="000000"/>
              <w:right w:val="nil"/>
            </w:tcBorders>
            <w:hideMark/>
          </w:tcPr>
          <w:p w14:paraId="7C8AC9BA" w14:textId="77777777" w:rsidR="006E1113" w:rsidRPr="000F327C" w:rsidRDefault="006E1113" w:rsidP="00CD26A9">
            <w:pPr>
              <w:pStyle w:val="ctableheading"/>
            </w:pPr>
            <w:r w:rsidRPr="000F327C">
              <w:t>Field Name and Number</w:t>
            </w:r>
          </w:p>
        </w:tc>
        <w:tc>
          <w:tcPr>
            <w:tcW w:w="5232" w:type="dxa"/>
            <w:tcBorders>
              <w:top w:val="single" w:sz="6" w:space="0" w:color="000000"/>
              <w:left w:val="nil"/>
              <w:bottom w:val="single" w:sz="6" w:space="0" w:color="000000"/>
              <w:right w:val="nil"/>
            </w:tcBorders>
            <w:hideMark/>
          </w:tcPr>
          <w:p w14:paraId="7369DB1B" w14:textId="77777777" w:rsidR="006E1113" w:rsidRPr="000F327C" w:rsidRDefault="006E1113" w:rsidP="00CD26A9">
            <w:pPr>
              <w:pStyle w:val="ctableheading"/>
            </w:pPr>
            <w:r w:rsidRPr="000F327C">
              <w:t>Instructions for Completion</w:t>
            </w:r>
          </w:p>
        </w:tc>
      </w:tr>
      <w:tr w:rsidR="006E1113" w:rsidRPr="000F327C" w14:paraId="1E66420B" w14:textId="77777777" w:rsidTr="00CD26A9">
        <w:trPr>
          <w:gridAfter w:val="1"/>
          <w:wAfter w:w="45" w:type="dxa"/>
          <w:cantSplit/>
        </w:trPr>
        <w:tc>
          <w:tcPr>
            <w:tcW w:w="3622" w:type="dxa"/>
            <w:tcBorders>
              <w:top w:val="single" w:sz="6" w:space="0" w:color="000000"/>
              <w:left w:val="nil"/>
              <w:bottom w:val="nil"/>
              <w:right w:val="nil"/>
            </w:tcBorders>
            <w:hideMark/>
          </w:tcPr>
          <w:p w14:paraId="1E23BE42" w14:textId="77777777" w:rsidR="006E1113" w:rsidRPr="000F327C" w:rsidRDefault="006E1113" w:rsidP="00CD26A9">
            <w:pPr>
              <w:pStyle w:val="cTableText"/>
              <w:ind w:left="475" w:hanging="475"/>
            </w:pPr>
            <w:r w:rsidRPr="000F327C">
              <w:t>1.</w:t>
            </w:r>
            <w:r w:rsidRPr="000F327C">
              <w:tab/>
              <w:t>(type of coverage)</w:t>
            </w:r>
          </w:p>
        </w:tc>
        <w:tc>
          <w:tcPr>
            <w:tcW w:w="5232" w:type="dxa"/>
            <w:tcBorders>
              <w:top w:val="single" w:sz="6" w:space="0" w:color="000000"/>
              <w:left w:val="nil"/>
              <w:bottom w:val="nil"/>
              <w:right w:val="nil"/>
            </w:tcBorders>
            <w:hideMark/>
          </w:tcPr>
          <w:p w14:paraId="5C46ACF6" w14:textId="77777777" w:rsidR="006E1113" w:rsidRPr="000F327C" w:rsidRDefault="006E1113" w:rsidP="00CD26A9">
            <w:pPr>
              <w:pStyle w:val="cTableText"/>
            </w:pPr>
            <w:r w:rsidRPr="000F327C">
              <w:t>Not required.</w:t>
            </w:r>
          </w:p>
        </w:tc>
      </w:tr>
      <w:tr w:rsidR="006E1113" w:rsidRPr="000F327C" w14:paraId="03E2ABC9" w14:textId="77777777" w:rsidTr="00CD26A9">
        <w:trPr>
          <w:gridAfter w:val="1"/>
          <w:wAfter w:w="45" w:type="dxa"/>
          <w:cantSplit/>
        </w:trPr>
        <w:tc>
          <w:tcPr>
            <w:tcW w:w="3622" w:type="dxa"/>
            <w:tcBorders>
              <w:top w:val="nil"/>
              <w:left w:val="nil"/>
              <w:bottom w:val="single" w:sz="6" w:space="0" w:color="000000"/>
              <w:right w:val="nil"/>
            </w:tcBorders>
            <w:hideMark/>
          </w:tcPr>
          <w:p w14:paraId="54007051" w14:textId="77777777" w:rsidR="006E1113" w:rsidRPr="000F327C" w:rsidRDefault="006E1113" w:rsidP="00CD26A9">
            <w:pPr>
              <w:pStyle w:val="cTableText"/>
              <w:ind w:left="475" w:hanging="475"/>
            </w:pPr>
            <w:r w:rsidRPr="000F327C">
              <w:lastRenderedPageBreak/>
              <w:t>1a.</w:t>
            </w:r>
            <w:r w:rsidRPr="000F327C">
              <w:tab/>
              <w:t>INSURED’S I.D. NUMBER (For Program in Item 1)</w:t>
            </w:r>
          </w:p>
        </w:tc>
        <w:tc>
          <w:tcPr>
            <w:tcW w:w="5232" w:type="dxa"/>
            <w:tcBorders>
              <w:top w:val="nil"/>
              <w:left w:val="nil"/>
              <w:bottom w:val="single" w:sz="6" w:space="0" w:color="000000"/>
              <w:right w:val="nil"/>
            </w:tcBorders>
            <w:hideMark/>
          </w:tcPr>
          <w:p w14:paraId="2FE1C8D7" w14:textId="77777777" w:rsidR="006E1113" w:rsidRPr="000F327C" w:rsidRDefault="006E1113" w:rsidP="00CD26A9">
            <w:pPr>
              <w:pStyle w:val="cTableText"/>
            </w:pPr>
            <w:r w:rsidRPr="000F327C">
              <w:t xml:space="preserve">Beneficiary’s or participant’s 10-digit Medicaid or </w:t>
            </w:r>
            <w:proofErr w:type="spellStart"/>
            <w:r w:rsidRPr="000F327C">
              <w:t>ARKids</w:t>
            </w:r>
            <w:proofErr w:type="spellEnd"/>
            <w:r w:rsidRPr="000F327C">
              <w:t xml:space="preserve"> First-A or </w:t>
            </w:r>
            <w:proofErr w:type="spellStart"/>
            <w:r w:rsidRPr="000F327C">
              <w:t>ARKids</w:t>
            </w:r>
            <w:proofErr w:type="spellEnd"/>
            <w:r w:rsidRPr="000F327C">
              <w:t xml:space="preserve"> First-B identification number.</w:t>
            </w:r>
          </w:p>
        </w:tc>
      </w:tr>
      <w:tr w:rsidR="006E1113" w:rsidRPr="000F327C" w14:paraId="35FEB701"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29E50308" w14:textId="77777777" w:rsidR="006E1113" w:rsidRPr="000F327C" w:rsidRDefault="006E1113" w:rsidP="00CD26A9">
            <w:pPr>
              <w:pStyle w:val="cTableText"/>
              <w:ind w:left="475" w:hanging="475"/>
            </w:pPr>
            <w:r w:rsidRPr="000F327C">
              <w:t>2.</w:t>
            </w:r>
            <w:r w:rsidRPr="000F327C">
              <w:tab/>
              <w:t>PATIENT’S NAME (Last Name, First Name, Middle Initial)</w:t>
            </w:r>
          </w:p>
        </w:tc>
        <w:tc>
          <w:tcPr>
            <w:tcW w:w="5232" w:type="dxa"/>
            <w:tcBorders>
              <w:top w:val="single" w:sz="6" w:space="0" w:color="000000"/>
              <w:left w:val="nil"/>
              <w:bottom w:val="single" w:sz="6" w:space="0" w:color="000000"/>
              <w:right w:val="nil"/>
            </w:tcBorders>
            <w:hideMark/>
          </w:tcPr>
          <w:p w14:paraId="51B2088C" w14:textId="77777777" w:rsidR="006E1113" w:rsidRPr="000F327C" w:rsidRDefault="006E1113" w:rsidP="00CD26A9">
            <w:pPr>
              <w:pStyle w:val="cTableText"/>
            </w:pPr>
            <w:r w:rsidRPr="000F327C">
              <w:t>Beneficiary’s or participant’s last name and first name.</w:t>
            </w:r>
          </w:p>
        </w:tc>
      </w:tr>
      <w:tr w:rsidR="006E1113" w:rsidRPr="000F327C" w14:paraId="5873F3AF" w14:textId="77777777" w:rsidTr="00CD26A9">
        <w:trPr>
          <w:gridAfter w:val="1"/>
          <w:wAfter w:w="45" w:type="dxa"/>
          <w:cantSplit/>
        </w:trPr>
        <w:tc>
          <w:tcPr>
            <w:tcW w:w="3622" w:type="dxa"/>
            <w:tcBorders>
              <w:top w:val="single" w:sz="6" w:space="0" w:color="000000"/>
              <w:left w:val="nil"/>
              <w:bottom w:val="nil"/>
              <w:right w:val="nil"/>
            </w:tcBorders>
            <w:hideMark/>
          </w:tcPr>
          <w:p w14:paraId="07BF7A88" w14:textId="77777777" w:rsidR="006E1113" w:rsidRPr="000F327C" w:rsidRDefault="006E1113" w:rsidP="00CD26A9">
            <w:pPr>
              <w:pStyle w:val="cTableText"/>
              <w:ind w:left="475" w:hanging="475"/>
            </w:pPr>
            <w:r w:rsidRPr="000F327C">
              <w:t>3.</w:t>
            </w:r>
            <w:r w:rsidRPr="000F327C">
              <w:tab/>
              <w:t xml:space="preserve">PATIENT’S BIRTH DATE </w:t>
            </w:r>
          </w:p>
        </w:tc>
        <w:tc>
          <w:tcPr>
            <w:tcW w:w="5232" w:type="dxa"/>
            <w:tcBorders>
              <w:top w:val="single" w:sz="6" w:space="0" w:color="000000"/>
              <w:left w:val="nil"/>
              <w:bottom w:val="nil"/>
              <w:right w:val="nil"/>
            </w:tcBorders>
            <w:hideMark/>
          </w:tcPr>
          <w:p w14:paraId="57CC6CBA" w14:textId="77777777" w:rsidR="006E1113" w:rsidRPr="000F327C" w:rsidRDefault="006E1113" w:rsidP="00CD26A9">
            <w:pPr>
              <w:pStyle w:val="cTableText"/>
            </w:pPr>
            <w:r w:rsidRPr="000F327C">
              <w:t xml:space="preserve">Beneficiary’s or participant’s date of birth </w:t>
            </w:r>
            <w:proofErr w:type="gramStart"/>
            <w:r w:rsidRPr="000F327C">
              <w:t>as</w:t>
            </w:r>
            <w:proofErr w:type="gramEnd"/>
            <w:r w:rsidRPr="000F327C">
              <w:t xml:space="preserve"> given on the individual’s Medicaid or </w:t>
            </w:r>
            <w:proofErr w:type="spellStart"/>
            <w:r w:rsidRPr="000F327C">
              <w:t>ARKids</w:t>
            </w:r>
            <w:proofErr w:type="spellEnd"/>
            <w:r w:rsidRPr="000F327C">
              <w:t xml:space="preserve"> First-A or </w:t>
            </w:r>
            <w:proofErr w:type="spellStart"/>
            <w:r w:rsidRPr="000F327C">
              <w:t>ARKids</w:t>
            </w:r>
            <w:proofErr w:type="spellEnd"/>
            <w:r w:rsidRPr="000F327C">
              <w:t xml:space="preserve"> First-B identification card.  Format: MM/DD/YY.</w:t>
            </w:r>
          </w:p>
        </w:tc>
      </w:tr>
      <w:tr w:rsidR="006E1113" w:rsidRPr="000F327C" w14:paraId="0DDADA24" w14:textId="77777777" w:rsidTr="00CD26A9">
        <w:trPr>
          <w:gridAfter w:val="1"/>
          <w:wAfter w:w="45" w:type="dxa"/>
          <w:cantSplit/>
        </w:trPr>
        <w:tc>
          <w:tcPr>
            <w:tcW w:w="3622" w:type="dxa"/>
            <w:tcBorders>
              <w:top w:val="nil"/>
              <w:left w:val="nil"/>
              <w:bottom w:val="single" w:sz="6" w:space="0" w:color="000000"/>
              <w:right w:val="nil"/>
            </w:tcBorders>
            <w:hideMark/>
          </w:tcPr>
          <w:p w14:paraId="735871CA" w14:textId="77777777" w:rsidR="006E1113" w:rsidRPr="000F327C" w:rsidRDefault="006E1113" w:rsidP="00CD26A9">
            <w:pPr>
              <w:pStyle w:val="cTableText"/>
              <w:ind w:left="475" w:hanging="475"/>
            </w:pPr>
            <w:r w:rsidRPr="000F327C">
              <w:tab/>
              <w:t>SEX</w:t>
            </w:r>
          </w:p>
        </w:tc>
        <w:tc>
          <w:tcPr>
            <w:tcW w:w="5232" w:type="dxa"/>
            <w:tcBorders>
              <w:top w:val="nil"/>
              <w:left w:val="nil"/>
              <w:bottom w:val="single" w:sz="6" w:space="0" w:color="000000"/>
              <w:right w:val="nil"/>
            </w:tcBorders>
            <w:hideMark/>
          </w:tcPr>
          <w:p w14:paraId="23123DD5" w14:textId="77777777" w:rsidR="006E1113" w:rsidRPr="000F327C" w:rsidRDefault="006E1113" w:rsidP="00CD26A9">
            <w:pPr>
              <w:pStyle w:val="cTableText"/>
            </w:pPr>
            <w:r w:rsidRPr="000F327C">
              <w:t>Check M for male or F for female.</w:t>
            </w:r>
          </w:p>
        </w:tc>
      </w:tr>
      <w:tr w:rsidR="006E1113" w:rsidRPr="000F327C" w14:paraId="29D3AC5B"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1FEF4EAD" w14:textId="77777777" w:rsidR="006E1113" w:rsidRPr="000F327C" w:rsidRDefault="006E1113" w:rsidP="00CD26A9">
            <w:pPr>
              <w:pStyle w:val="cTableText"/>
              <w:ind w:left="475" w:hanging="475"/>
            </w:pPr>
            <w:r w:rsidRPr="000F327C">
              <w:t>4.</w:t>
            </w:r>
            <w:r w:rsidRPr="000F327C">
              <w:tab/>
              <w:t>INSURED’S NAME (Last Name, First Name, Middle Initial)</w:t>
            </w:r>
          </w:p>
        </w:tc>
        <w:tc>
          <w:tcPr>
            <w:tcW w:w="5232" w:type="dxa"/>
            <w:tcBorders>
              <w:top w:val="single" w:sz="6" w:space="0" w:color="000000"/>
              <w:left w:val="nil"/>
              <w:bottom w:val="single" w:sz="6" w:space="0" w:color="000000"/>
              <w:right w:val="nil"/>
            </w:tcBorders>
            <w:hideMark/>
          </w:tcPr>
          <w:p w14:paraId="3AAA1425" w14:textId="77777777" w:rsidR="006E1113" w:rsidRPr="000F327C" w:rsidRDefault="006E1113" w:rsidP="00CD26A9">
            <w:pPr>
              <w:pStyle w:val="cTableText"/>
            </w:pPr>
            <w:r w:rsidRPr="000F327C">
              <w:t>Required if insurance affects this claim. Insured’s last name, first name, and middle initial.</w:t>
            </w:r>
          </w:p>
        </w:tc>
      </w:tr>
      <w:tr w:rsidR="006E1113" w:rsidRPr="000F327C" w14:paraId="7120A251" w14:textId="77777777" w:rsidTr="00CD26A9">
        <w:trPr>
          <w:gridAfter w:val="1"/>
          <w:wAfter w:w="45" w:type="dxa"/>
          <w:cantSplit/>
        </w:trPr>
        <w:tc>
          <w:tcPr>
            <w:tcW w:w="3622" w:type="dxa"/>
            <w:tcBorders>
              <w:top w:val="single" w:sz="6" w:space="0" w:color="000000"/>
              <w:left w:val="nil"/>
              <w:bottom w:val="nil"/>
              <w:right w:val="nil"/>
            </w:tcBorders>
            <w:hideMark/>
          </w:tcPr>
          <w:p w14:paraId="3887DB87" w14:textId="77777777" w:rsidR="006E1113" w:rsidRPr="000F327C" w:rsidRDefault="006E1113" w:rsidP="00CD26A9">
            <w:pPr>
              <w:pStyle w:val="cTableText"/>
              <w:ind w:left="475" w:hanging="475"/>
            </w:pPr>
            <w:r w:rsidRPr="000F327C">
              <w:t>5.</w:t>
            </w:r>
            <w:r w:rsidRPr="000F327C">
              <w:tab/>
              <w:t>PATIENT’S ADDRESS (No., Street)</w:t>
            </w:r>
          </w:p>
        </w:tc>
        <w:tc>
          <w:tcPr>
            <w:tcW w:w="5232" w:type="dxa"/>
            <w:tcBorders>
              <w:top w:val="single" w:sz="6" w:space="0" w:color="000000"/>
              <w:left w:val="nil"/>
              <w:bottom w:val="nil"/>
              <w:right w:val="nil"/>
            </w:tcBorders>
            <w:hideMark/>
          </w:tcPr>
          <w:p w14:paraId="4EFD93EC" w14:textId="77777777" w:rsidR="006E1113" w:rsidRPr="000F327C" w:rsidRDefault="006E1113" w:rsidP="00CD26A9">
            <w:pPr>
              <w:pStyle w:val="cTableText"/>
            </w:pPr>
            <w:r w:rsidRPr="000F327C">
              <w:t>Optional.  Beneficiary’s or participant’s complete</w:t>
            </w:r>
            <w:r w:rsidRPr="000F327C">
              <w:rPr>
                <w:i/>
              </w:rPr>
              <w:t xml:space="preserve"> </w:t>
            </w:r>
            <w:r w:rsidRPr="000F327C">
              <w:t>mailing address (street address or post office box).</w:t>
            </w:r>
          </w:p>
        </w:tc>
      </w:tr>
      <w:tr w:rsidR="006E1113" w:rsidRPr="000F327C" w14:paraId="43C3D69C" w14:textId="77777777" w:rsidTr="00CD26A9">
        <w:trPr>
          <w:gridAfter w:val="1"/>
          <w:wAfter w:w="45" w:type="dxa"/>
          <w:cantSplit/>
        </w:trPr>
        <w:tc>
          <w:tcPr>
            <w:tcW w:w="3622" w:type="dxa"/>
            <w:tcBorders>
              <w:top w:val="nil"/>
              <w:left w:val="nil"/>
              <w:bottom w:val="nil"/>
              <w:right w:val="nil"/>
            </w:tcBorders>
            <w:hideMark/>
          </w:tcPr>
          <w:p w14:paraId="0BFFF89D" w14:textId="77777777" w:rsidR="006E1113" w:rsidRPr="000F327C" w:rsidRDefault="006E1113" w:rsidP="00CD26A9">
            <w:pPr>
              <w:pStyle w:val="cTableText"/>
              <w:ind w:left="475" w:hanging="475"/>
            </w:pPr>
            <w:r w:rsidRPr="000F327C">
              <w:tab/>
              <w:t>CITY</w:t>
            </w:r>
          </w:p>
        </w:tc>
        <w:tc>
          <w:tcPr>
            <w:tcW w:w="5232" w:type="dxa"/>
            <w:tcBorders>
              <w:top w:val="nil"/>
              <w:left w:val="nil"/>
              <w:bottom w:val="nil"/>
              <w:right w:val="nil"/>
            </w:tcBorders>
            <w:hideMark/>
          </w:tcPr>
          <w:p w14:paraId="75F143D2" w14:textId="77777777" w:rsidR="006E1113" w:rsidRPr="000F327C" w:rsidRDefault="006E1113" w:rsidP="00CD26A9">
            <w:pPr>
              <w:pStyle w:val="cTableText"/>
            </w:pPr>
            <w:r w:rsidRPr="000F327C">
              <w:t>Name of the city in which the beneficiary or participant resides.</w:t>
            </w:r>
          </w:p>
        </w:tc>
      </w:tr>
      <w:tr w:rsidR="006E1113" w:rsidRPr="000F327C" w14:paraId="25D3501B" w14:textId="77777777" w:rsidTr="00CD26A9">
        <w:trPr>
          <w:gridAfter w:val="1"/>
          <w:wAfter w:w="45" w:type="dxa"/>
          <w:cantSplit/>
        </w:trPr>
        <w:tc>
          <w:tcPr>
            <w:tcW w:w="3622" w:type="dxa"/>
            <w:tcBorders>
              <w:top w:val="nil"/>
              <w:left w:val="nil"/>
              <w:bottom w:val="nil"/>
              <w:right w:val="nil"/>
            </w:tcBorders>
            <w:hideMark/>
          </w:tcPr>
          <w:p w14:paraId="4B0CFA4F" w14:textId="77777777" w:rsidR="006E1113" w:rsidRPr="000F327C" w:rsidRDefault="006E1113" w:rsidP="00CD26A9">
            <w:pPr>
              <w:pStyle w:val="cTableText"/>
              <w:ind w:left="475" w:hanging="475"/>
            </w:pPr>
            <w:r w:rsidRPr="000F327C">
              <w:tab/>
              <w:t>STATE</w:t>
            </w:r>
          </w:p>
        </w:tc>
        <w:tc>
          <w:tcPr>
            <w:tcW w:w="5232" w:type="dxa"/>
            <w:tcBorders>
              <w:top w:val="nil"/>
              <w:left w:val="nil"/>
              <w:bottom w:val="nil"/>
              <w:right w:val="nil"/>
            </w:tcBorders>
            <w:hideMark/>
          </w:tcPr>
          <w:p w14:paraId="4BEB8828" w14:textId="77777777" w:rsidR="006E1113" w:rsidRPr="000F327C" w:rsidRDefault="006E1113" w:rsidP="00CD26A9">
            <w:pPr>
              <w:pStyle w:val="cTableText"/>
            </w:pPr>
            <w:r w:rsidRPr="000F327C">
              <w:t>Two-letter postal code for the state in which the beneficiary or participant resides.</w:t>
            </w:r>
          </w:p>
        </w:tc>
      </w:tr>
      <w:tr w:rsidR="006E1113" w:rsidRPr="000F327C" w14:paraId="547E8009" w14:textId="77777777" w:rsidTr="00CD26A9">
        <w:trPr>
          <w:gridAfter w:val="1"/>
          <w:wAfter w:w="45" w:type="dxa"/>
          <w:cantSplit/>
        </w:trPr>
        <w:tc>
          <w:tcPr>
            <w:tcW w:w="3622" w:type="dxa"/>
            <w:tcBorders>
              <w:top w:val="nil"/>
              <w:left w:val="nil"/>
              <w:bottom w:val="nil"/>
              <w:right w:val="nil"/>
            </w:tcBorders>
            <w:hideMark/>
          </w:tcPr>
          <w:p w14:paraId="36B4F307" w14:textId="77777777" w:rsidR="006E1113" w:rsidRPr="000F327C" w:rsidRDefault="006E1113" w:rsidP="00CD26A9">
            <w:pPr>
              <w:pStyle w:val="cTableText"/>
              <w:ind w:left="475" w:hanging="475"/>
            </w:pPr>
            <w:r w:rsidRPr="000F327C">
              <w:tab/>
              <w:t>ZIP CODE</w:t>
            </w:r>
          </w:p>
        </w:tc>
        <w:tc>
          <w:tcPr>
            <w:tcW w:w="5232" w:type="dxa"/>
            <w:tcBorders>
              <w:top w:val="nil"/>
              <w:left w:val="nil"/>
              <w:bottom w:val="nil"/>
              <w:right w:val="nil"/>
            </w:tcBorders>
            <w:hideMark/>
          </w:tcPr>
          <w:p w14:paraId="56DC1780" w14:textId="77777777" w:rsidR="006E1113" w:rsidRPr="000F327C" w:rsidRDefault="006E1113" w:rsidP="00CD26A9">
            <w:pPr>
              <w:pStyle w:val="cTableText"/>
            </w:pPr>
            <w:r w:rsidRPr="000F327C">
              <w:t>Five-digit zip code; nine digits for post office box.</w:t>
            </w:r>
          </w:p>
        </w:tc>
      </w:tr>
      <w:tr w:rsidR="006E1113" w:rsidRPr="000F327C" w14:paraId="1E2221F6" w14:textId="77777777" w:rsidTr="00CD26A9">
        <w:trPr>
          <w:gridAfter w:val="1"/>
          <w:wAfter w:w="45" w:type="dxa"/>
          <w:cantSplit/>
        </w:trPr>
        <w:tc>
          <w:tcPr>
            <w:tcW w:w="3622" w:type="dxa"/>
            <w:tcBorders>
              <w:top w:val="nil"/>
              <w:left w:val="nil"/>
              <w:bottom w:val="single" w:sz="4" w:space="0" w:color="auto"/>
              <w:right w:val="nil"/>
            </w:tcBorders>
            <w:hideMark/>
          </w:tcPr>
          <w:p w14:paraId="1402C0C0" w14:textId="77777777" w:rsidR="006E1113" w:rsidRPr="000F327C" w:rsidRDefault="006E1113" w:rsidP="00CD26A9">
            <w:pPr>
              <w:pStyle w:val="cTableText"/>
              <w:ind w:left="475" w:hanging="475"/>
            </w:pPr>
            <w:r w:rsidRPr="000F327C">
              <w:tab/>
              <w:t>TELEPHONE (Include Area Code)</w:t>
            </w:r>
          </w:p>
        </w:tc>
        <w:tc>
          <w:tcPr>
            <w:tcW w:w="5232" w:type="dxa"/>
            <w:tcBorders>
              <w:top w:val="nil"/>
              <w:left w:val="nil"/>
              <w:bottom w:val="single" w:sz="4" w:space="0" w:color="auto"/>
              <w:right w:val="nil"/>
            </w:tcBorders>
            <w:hideMark/>
          </w:tcPr>
          <w:p w14:paraId="48A9334E" w14:textId="77777777" w:rsidR="006E1113" w:rsidRPr="000F327C" w:rsidRDefault="006E1113" w:rsidP="00CD26A9">
            <w:pPr>
              <w:pStyle w:val="cTableText"/>
            </w:pPr>
            <w:r w:rsidRPr="000F327C">
              <w:t>The beneficiary’s or participant’s telephone number or the number of a reliable message/contact/ emergency telephone.</w:t>
            </w:r>
          </w:p>
        </w:tc>
      </w:tr>
      <w:tr w:rsidR="006E1113" w:rsidRPr="000F327C" w14:paraId="311FE6E6" w14:textId="77777777" w:rsidTr="00CD26A9">
        <w:trPr>
          <w:gridAfter w:val="1"/>
          <w:wAfter w:w="45" w:type="dxa"/>
          <w:cantSplit/>
        </w:trPr>
        <w:tc>
          <w:tcPr>
            <w:tcW w:w="3622" w:type="dxa"/>
            <w:tcBorders>
              <w:top w:val="single" w:sz="4" w:space="0" w:color="auto"/>
              <w:left w:val="nil"/>
              <w:bottom w:val="single" w:sz="6" w:space="0" w:color="000000"/>
              <w:right w:val="nil"/>
            </w:tcBorders>
            <w:hideMark/>
          </w:tcPr>
          <w:p w14:paraId="1E7DA00E" w14:textId="77777777" w:rsidR="006E1113" w:rsidRPr="000F327C" w:rsidRDefault="006E1113" w:rsidP="00CD26A9">
            <w:pPr>
              <w:pStyle w:val="cTableText"/>
              <w:ind w:left="475" w:hanging="475"/>
            </w:pPr>
            <w:r w:rsidRPr="000F327C">
              <w:t>6.</w:t>
            </w:r>
            <w:r w:rsidRPr="000F327C">
              <w:tab/>
              <w:t>PATIENT RELATIONSHIP TO INSURED</w:t>
            </w:r>
          </w:p>
        </w:tc>
        <w:tc>
          <w:tcPr>
            <w:tcW w:w="5232" w:type="dxa"/>
            <w:tcBorders>
              <w:top w:val="single" w:sz="4" w:space="0" w:color="auto"/>
              <w:left w:val="nil"/>
              <w:bottom w:val="single" w:sz="6" w:space="0" w:color="000000"/>
              <w:right w:val="nil"/>
            </w:tcBorders>
            <w:hideMark/>
          </w:tcPr>
          <w:p w14:paraId="5471E9B7" w14:textId="77777777" w:rsidR="006E1113" w:rsidRPr="000F327C" w:rsidRDefault="006E1113" w:rsidP="00CD26A9">
            <w:pPr>
              <w:pStyle w:val="cTableText"/>
            </w:pPr>
            <w:r w:rsidRPr="000F327C">
              <w:t>If insurance affects this claim, check the box indicating the patient’s relationship to the insured.</w:t>
            </w:r>
          </w:p>
        </w:tc>
      </w:tr>
      <w:tr w:rsidR="006E1113" w:rsidRPr="000F327C" w14:paraId="45A4683D" w14:textId="77777777" w:rsidTr="00CD26A9">
        <w:trPr>
          <w:gridAfter w:val="1"/>
          <w:wAfter w:w="45" w:type="dxa"/>
          <w:cantSplit/>
        </w:trPr>
        <w:tc>
          <w:tcPr>
            <w:tcW w:w="3622" w:type="dxa"/>
            <w:tcBorders>
              <w:top w:val="single" w:sz="6" w:space="0" w:color="000000"/>
              <w:left w:val="nil"/>
              <w:bottom w:val="nil"/>
              <w:right w:val="nil"/>
            </w:tcBorders>
            <w:hideMark/>
          </w:tcPr>
          <w:p w14:paraId="2FE9E218" w14:textId="77777777" w:rsidR="006E1113" w:rsidRPr="000F327C" w:rsidRDefault="006E1113" w:rsidP="00CD26A9">
            <w:pPr>
              <w:pStyle w:val="cTableText"/>
              <w:ind w:left="475" w:hanging="475"/>
            </w:pPr>
            <w:r w:rsidRPr="000F327C">
              <w:t>7.</w:t>
            </w:r>
            <w:r w:rsidRPr="000F327C">
              <w:tab/>
              <w:t>INSURED’S ADDRESS (No., Street)</w:t>
            </w:r>
          </w:p>
        </w:tc>
        <w:tc>
          <w:tcPr>
            <w:tcW w:w="5232" w:type="dxa"/>
            <w:tcBorders>
              <w:top w:val="single" w:sz="6" w:space="0" w:color="000000"/>
              <w:left w:val="nil"/>
              <w:bottom w:val="nil"/>
              <w:right w:val="nil"/>
            </w:tcBorders>
            <w:hideMark/>
          </w:tcPr>
          <w:p w14:paraId="3A9372B5" w14:textId="77777777" w:rsidR="006E1113" w:rsidRPr="000F327C" w:rsidRDefault="006E1113" w:rsidP="00CD26A9">
            <w:pPr>
              <w:pStyle w:val="cTableText"/>
            </w:pPr>
            <w:r w:rsidRPr="000F327C">
              <w:t xml:space="preserve">Required if </w:t>
            </w:r>
            <w:proofErr w:type="gramStart"/>
            <w:r w:rsidRPr="000F327C">
              <w:t>insured’s</w:t>
            </w:r>
            <w:proofErr w:type="gramEnd"/>
            <w:r w:rsidRPr="000F327C">
              <w:t xml:space="preserve"> address is different from the patient’s address.</w:t>
            </w:r>
          </w:p>
        </w:tc>
      </w:tr>
      <w:tr w:rsidR="006E1113" w:rsidRPr="000F327C" w14:paraId="22F55A24" w14:textId="77777777" w:rsidTr="00CD26A9">
        <w:trPr>
          <w:gridAfter w:val="1"/>
          <w:wAfter w:w="45" w:type="dxa"/>
          <w:cantSplit/>
        </w:trPr>
        <w:tc>
          <w:tcPr>
            <w:tcW w:w="3622" w:type="dxa"/>
            <w:tcBorders>
              <w:top w:val="nil"/>
              <w:left w:val="nil"/>
              <w:bottom w:val="nil"/>
              <w:right w:val="nil"/>
            </w:tcBorders>
            <w:hideMark/>
          </w:tcPr>
          <w:p w14:paraId="4F3FC7DF" w14:textId="77777777" w:rsidR="006E1113" w:rsidRPr="000F327C" w:rsidRDefault="006E1113" w:rsidP="00CD26A9">
            <w:pPr>
              <w:pStyle w:val="cTableText"/>
              <w:ind w:left="475" w:hanging="475"/>
            </w:pPr>
            <w:r w:rsidRPr="000F327C">
              <w:tab/>
              <w:t>CITY</w:t>
            </w:r>
          </w:p>
        </w:tc>
        <w:tc>
          <w:tcPr>
            <w:tcW w:w="5232" w:type="dxa"/>
            <w:tcBorders>
              <w:top w:val="nil"/>
              <w:left w:val="nil"/>
              <w:bottom w:val="nil"/>
              <w:right w:val="nil"/>
            </w:tcBorders>
          </w:tcPr>
          <w:p w14:paraId="5CE39C70" w14:textId="77777777" w:rsidR="006E1113" w:rsidRPr="000F327C" w:rsidRDefault="006E1113" w:rsidP="00CD26A9">
            <w:pPr>
              <w:pStyle w:val="cTableText"/>
            </w:pPr>
          </w:p>
        </w:tc>
      </w:tr>
      <w:tr w:rsidR="006E1113" w:rsidRPr="000F327C" w14:paraId="36CACBAB" w14:textId="77777777" w:rsidTr="00CD26A9">
        <w:trPr>
          <w:gridAfter w:val="1"/>
          <w:wAfter w:w="45" w:type="dxa"/>
          <w:cantSplit/>
        </w:trPr>
        <w:tc>
          <w:tcPr>
            <w:tcW w:w="3622" w:type="dxa"/>
            <w:tcBorders>
              <w:top w:val="nil"/>
              <w:left w:val="nil"/>
              <w:bottom w:val="nil"/>
              <w:right w:val="nil"/>
            </w:tcBorders>
            <w:hideMark/>
          </w:tcPr>
          <w:p w14:paraId="398FEEAC" w14:textId="77777777" w:rsidR="006E1113" w:rsidRPr="000F327C" w:rsidRDefault="006E1113" w:rsidP="00CD26A9">
            <w:pPr>
              <w:pStyle w:val="cTableText"/>
              <w:ind w:left="475" w:hanging="475"/>
            </w:pPr>
            <w:r w:rsidRPr="000F327C">
              <w:tab/>
              <w:t>STATE</w:t>
            </w:r>
          </w:p>
        </w:tc>
        <w:tc>
          <w:tcPr>
            <w:tcW w:w="5232" w:type="dxa"/>
            <w:tcBorders>
              <w:top w:val="nil"/>
              <w:left w:val="nil"/>
              <w:bottom w:val="nil"/>
              <w:right w:val="nil"/>
            </w:tcBorders>
          </w:tcPr>
          <w:p w14:paraId="61C3FCEC" w14:textId="77777777" w:rsidR="006E1113" w:rsidRPr="000F327C" w:rsidRDefault="006E1113" w:rsidP="00CD26A9">
            <w:pPr>
              <w:pStyle w:val="cTableText"/>
            </w:pPr>
          </w:p>
        </w:tc>
      </w:tr>
      <w:tr w:rsidR="006E1113" w:rsidRPr="000F327C" w14:paraId="4B48BB5F" w14:textId="77777777" w:rsidTr="00CD26A9">
        <w:trPr>
          <w:gridAfter w:val="1"/>
          <w:wAfter w:w="45" w:type="dxa"/>
          <w:cantSplit/>
        </w:trPr>
        <w:tc>
          <w:tcPr>
            <w:tcW w:w="3622" w:type="dxa"/>
            <w:tcBorders>
              <w:top w:val="nil"/>
              <w:left w:val="nil"/>
              <w:bottom w:val="nil"/>
              <w:right w:val="nil"/>
            </w:tcBorders>
            <w:hideMark/>
          </w:tcPr>
          <w:p w14:paraId="1CF4221C" w14:textId="77777777" w:rsidR="006E1113" w:rsidRPr="000F327C" w:rsidRDefault="006E1113" w:rsidP="00CD26A9">
            <w:pPr>
              <w:pStyle w:val="cTableText"/>
              <w:ind w:left="475" w:hanging="475"/>
            </w:pPr>
            <w:r w:rsidRPr="000F327C">
              <w:tab/>
              <w:t>ZIP CODE</w:t>
            </w:r>
          </w:p>
        </w:tc>
        <w:tc>
          <w:tcPr>
            <w:tcW w:w="5232" w:type="dxa"/>
            <w:tcBorders>
              <w:top w:val="nil"/>
              <w:left w:val="nil"/>
              <w:bottom w:val="nil"/>
              <w:right w:val="nil"/>
            </w:tcBorders>
          </w:tcPr>
          <w:p w14:paraId="5CCD4E7B" w14:textId="77777777" w:rsidR="006E1113" w:rsidRPr="000F327C" w:rsidRDefault="006E1113" w:rsidP="00CD26A9">
            <w:pPr>
              <w:pStyle w:val="cTableText"/>
            </w:pPr>
          </w:p>
        </w:tc>
      </w:tr>
      <w:tr w:rsidR="006E1113" w:rsidRPr="000F327C" w14:paraId="70A7A248" w14:textId="77777777" w:rsidTr="00CD26A9">
        <w:trPr>
          <w:gridAfter w:val="1"/>
          <w:wAfter w:w="45" w:type="dxa"/>
          <w:cantSplit/>
        </w:trPr>
        <w:tc>
          <w:tcPr>
            <w:tcW w:w="3622" w:type="dxa"/>
            <w:tcBorders>
              <w:top w:val="nil"/>
              <w:left w:val="nil"/>
              <w:bottom w:val="single" w:sz="4" w:space="0" w:color="auto"/>
              <w:right w:val="nil"/>
            </w:tcBorders>
            <w:hideMark/>
          </w:tcPr>
          <w:p w14:paraId="4048FA90" w14:textId="77777777" w:rsidR="006E1113" w:rsidRPr="000F327C" w:rsidRDefault="006E1113" w:rsidP="00CD26A9">
            <w:pPr>
              <w:pStyle w:val="cTableText"/>
              <w:ind w:left="475" w:hanging="475"/>
            </w:pPr>
            <w:r w:rsidRPr="000F327C">
              <w:tab/>
              <w:t>TELEPHONE (Include Area Code)</w:t>
            </w:r>
          </w:p>
        </w:tc>
        <w:tc>
          <w:tcPr>
            <w:tcW w:w="5232" w:type="dxa"/>
            <w:tcBorders>
              <w:top w:val="nil"/>
              <w:left w:val="nil"/>
              <w:bottom w:val="single" w:sz="4" w:space="0" w:color="auto"/>
              <w:right w:val="nil"/>
            </w:tcBorders>
          </w:tcPr>
          <w:p w14:paraId="4AC131FD" w14:textId="77777777" w:rsidR="006E1113" w:rsidRPr="000F327C" w:rsidRDefault="006E1113" w:rsidP="00CD26A9">
            <w:pPr>
              <w:pStyle w:val="cTableText"/>
            </w:pPr>
          </w:p>
        </w:tc>
      </w:tr>
      <w:tr w:rsidR="006E1113" w:rsidRPr="000F327C" w14:paraId="448A5ECC" w14:textId="77777777" w:rsidTr="00CD26A9">
        <w:trPr>
          <w:gridAfter w:val="1"/>
          <w:wAfter w:w="45" w:type="dxa"/>
          <w:cantSplit/>
        </w:trPr>
        <w:tc>
          <w:tcPr>
            <w:tcW w:w="3622" w:type="dxa"/>
            <w:tcBorders>
              <w:top w:val="single" w:sz="4" w:space="0" w:color="auto"/>
              <w:left w:val="nil"/>
              <w:bottom w:val="single" w:sz="6" w:space="0" w:color="000000"/>
              <w:right w:val="nil"/>
            </w:tcBorders>
            <w:hideMark/>
          </w:tcPr>
          <w:p w14:paraId="6A098928" w14:textId="77777777" w:rsidR="006E1113" w:rsidRPr="000F327C" w:rsidRDefault="006E1113" w:rsidP="00CD26A9">
            <w:pPr>
              <w:pStyle w:val="cTableText"/>
              <w:ind w:left="475" w:hanging="475"/>
            </w:pPr>
            <w:r w:rsidRPr="000F327C">
              <w:t>8.</w:t>
            </w:r>
            <w:r w:rsidRPr="000F327C">
              <w:tab/>
              <w:t>RESERVED</w:t>
            </w:r>
          </w:p>
        </w:tc>
        <w:tc>
          <w:tcPr>
            <w:tcW w:w="5232" w:type="dxa"/>
            <w:tcBorders>
              <w:top w:val="single" w:sz="4" w:space="0" w:color="auto"/>
              <w:left w:val="nil"/>
              <w:bottom w:val="single" w:sz="6" w:space="0" w:color="000000"/>
              <w:right w:val="nil"/>
            </w:tcBorders>
            <w:hideMark/>
          </w:tcPr>
          <w:p w14:paraId="0ADFBE0B" w14:textId="77777777" w:rsidR="006E1113" w:rsidRPr="000F327C" w:rsidRDefault="006E1113" w:rsidP="00CD26A9">
            <w:pPr>
              <w:pStyle w:val="cTableText"/>
            </w:pPr>
            <w:r w:rsidRPr="000F327C">
              <w:t>Reserved for NUCC use.</w:t>
            </w:r>
          </w:p>
        </w:tc>
      </w:tr>
      <w:tr w:rsidR="006E1113" w:rsidRPr="000F327C" w14:paraId="0683CF24" w14:textId="77777777" w:rsidTr="00CD26A9">
        <w:trPr>
          <w:gridAfter w:val="1"/>
          <w:wAfter w:w="45" w:type="dxa"/>
          <w:cantSplit/>
        </w:trPr>
        <w:tc>
          <w:tcPr>
            <w:tcW w:w="3622" w:type="dxa"/>
            <w:tcBorders>
              <w:top w:val="single" w:sz="6" w:space="0" w:color="000000"/>
              <w:left w:val="nil"/>
              <w:bottom w:val="nil"/>
              <w:right w:val="nil"/>
            </w:tcBorders>
            <w:hideMark/>
          </w:tcPr>
          <w:p w14:paraId="0B6397CC" w14:textId="77777777" w:rsidR="006E1113" w:rsidRPr="000F327C" w:rsidRDefault="006E1113" w:rsidP="00CD26A9">
            <w:pPr>
              <w:pStyle w:val="ctext"/>
              <w:ind w:left="475" w:hanging="475"/>
            </w:pPr>
            <w:r w:rsidRPr="000F327C">
              <w:t>9.</w:t>
            </w:r>
            <w:r w:rsidRPr="000F327C">
              <w:tab/>
              <w:t>OTHER INSURED’S NAME (Last name, First Name, Middle Initial)</w:t>
            </w:r>
          </w:p>
        </w:tc>
        <w:tc>
          <w:tcPr>
            <w:tcW w:w="5232" w:type="dxa"/>
            <w:tcBorders>
              <w:top w:val="single" w:sz="6" w:space="0" w:color="000000"/>
              <w:left w:val="nil"/>
              <w:bottom w:val="nil"/>
              <w:right w:val="nil"/>
            </w:tcBorders>
            <w:hideMark/>
          </w:tcPr>
          <w:p w14:paraId="06C31EDE" w14:textId="77777777" w:rsidR="006E1113" w:rsidRPr="000F327C" w:rsidRDefault="006E1113" w:rsidP="00CD26A9">
            <w:pPr>
              <w:pStyle w:val="cTableText"/>
            </w:pPr>
            <w:r w:rsidRPr="000F327C">
              <w:t>If patient has other insurance coverage as indicated in Field 11d, the other insured’s last name, first name, and middle initial.</w:t>
            </w:r>
          </w:p>
        </w:tc>
      </w:tr>
      <w:tr w:rsidR="006E1113" w:rsidRPr="000F327C" w14:paraId="7D0AE9AB" w14:textId="77777777" w:rsidTr="00CD26A9">
        <w:trPr>
          <w:gridAfter w:val="1"/>
          <w:wAfter w:w="45" w:type="dxa"/>
          <w:cantSplit/>
        </w:trPr>
        <w:tc>
          <w:tcPr>
            <w:tcW w:w="3622" w:type="dxa"/>
            <w:tcBorders>
              <w:top w:val="nil"/>
              <w:left w:val="nil"/>
              <w:bottom w:val="nil"/>
              <w:right w:val="nil"/>
            </w:tcBorders>
            <w:hideMark/>
          </w:tcPr>
          <w:p w14:paraId="09AE5D2A" w14:textId="77777777" w:rsidR="006E1113" w:rsidRPr="000F327C" w:rsidRDefault="006E1113" w:rsidP="00CD26A9">
            <w:pPr>
              <w:pStyle w:val="cTableText"/>
              <w:ind w:left="965" w:hanging="475"/>
            </w:pPr>
            <w:r w:rsidRPr="000F327C">
              <w:t>a.</w:t>
            </w:r>
            <w:r w:rsidRPr="000F327C">
              <w:tab/>
              <w:t>OTHER INSURED’S POLICY OR GROUP NUMBER</w:t>
            </w:r>
          </w:p>
        </w:tc>
        <w:tc>
          <w:tcPr>
            <w:tcW w:w="5232" w:type="dxa"/>
            <w:tcBorders>
              <w:top w:val="nil"/>
              <w:left w:val="nil"/>
              <w:bottom w:val="nil"/>
              <w:right w:val="nil"/>
            </w:tcBorders>
            <w:hideMark/>
          </w:tcPr>
          <w:p w14:paraId="0138D9DF" w14:textId="77777777" w:rsidR="006E1113" w:rsidRPr="000F327C" w:rsidRDefault="006E1113" w:rsidP="00CD26A9">
            <w:pPr>
              <w:pStyle w:val="cTableText"/>
            </w:pPr>
            <w:r w:rsidRPr="000F327C">
              <w:t>Policy and/or group number of the insured individual.</w:t>
            </w:r>
          </w:p>
        </w:tc>
      </w:tr>
      <w:tr w:rsidR="006E1113" w:rsidRPr="000F327C" w14:paraId="3355266F" w14:textId="77777777" w:rsidTr="00CD26A9">
        <w:trPr>
          <w:gridAfter w:val="1"/>
          <w:wAfter w:w="45" w:type="dxa"/>
          <w:cantSplit/>
        </w:trPr>
        <w:tc>
          <w:tcPr>
            <w:tcW w:w="3622" w:type="dxa"/>
            <w:tcBorders>
              <w:top w:val="nil"/>
              <w:left w:val="nil"/>
              <w:bottom w:val="nil"/>
              <w:right w:val="nil"/>
            </w:tcBorders>
            <w:hideMark/>
          </w:tcPr>
          <w:p w14:paraId="26B34507" w14:textId="77777777" w:rsidR="006E1113" w:rsidRPr="000F327C" w:rsidRDefault="006E1113" w:rsidP="00CD26A9">
            <w:pPr>
              <w:pStyle w:val="cTableText"/>
              <w:ind w:left="965" w:hanging="475"/>
            </w:pPr>
            <w:r w:rsidRPr="000F327C">
              <w:t>b.</w:t>
            </w:r>
            <w:r w:rsidRPr="000F327C">
              <w:tab/>
              <w:t>RESERVED</w:t>
            </w:r>
          </w:p>
        </w:tc>
        <w:tc>
          <w:tcPr>
            <w:tcW w:w="5232" w:type="dxa"/>
            <w:tcBorders>
              <w:top w:val="nil"/>
              <w:left w:val="nil"/>
              <w:bottom w:val="nil"/>
              <w:right w:val="nil"/>
            </w:tcBorders>
            <w:hideMark/>
          </w:tcPr>
          <w:p w14:paraId="466BDEF5" w14:textId="77777777" w:rsidR="006E1113" w:rsidRPr="000F327C" w:rsidRDefault="006E1113" w:rsidP="00CD26A9">
            <w:pPr>
              <w:pStyle w:val="cTableText"/>
            </w:pPr>
            <w:r w:rsidRPr="000F327C">
              <w:t>Reserved for NUCC use.</w:t>
            </w:r>
          </w:p>
        </w:tc>
      </w:tr>
      <w:tr w:rsidR="006E1113" w:rsidRPr="000F327C" w14:paraId="6B6F7169" w14:textId="77777777" w:rsidTr="00CD26A9">
        <w:trPr>
          <w:gridAfter w:val="1"/>
          <w:wAfter w:w="45" w:type="dxa"/>
          <w:cantSplit/>
        </w:trPr>
        <w:tc>
          <w:tcPr>
            <w:tcW w:w="3622" w:type="dxa"/>
            <w:tcBorders>
              <w:top w:val="nil"/>
              <w:left w:val="nil"/>
              <w:bottom w:val="nil"/>
              <w:right w:val="nil"/>
            </w:tcBorders>
            <w:hideMark/>
          </w:tcPr>
          <w:p w14:paraId="64B04A76" w14:textId="77777777" w:rsidR="006E1113" w:rsidRPr="000F327C" w:rsidRDefault="006E1113" w:rsidP="00CD26A9">
            <w:pPr>
              <w:pStyle w:val="cTableText"/>
              <w:ind w:left="965"/>
            </w:pPr>
            <w:r w:rsidRPr="000F327C">
              <w:t>SEX</w:t>
            </w:r>
          </w:p>
        </w:tc>
        <w:tc>
          <w:tcPr>
            <w:tcW w:w="5232" w:type="dxa"/>
            <w:tcBorders>
              <w:top w:val="nil"/>
              <w:left w:val="nil"/>
              <w:bottom w:val="nil"/>
              <w:right w:val="nil"/>
            </w:tcBorders>
            <w:hideMark/>
          </w:tcPr>
          <w:p w14:paraId="5A257E69" w14:textId="77777777" w:rsidR="006E1113" w:rsidRPr="000F327C" w:rsidRDefault="006E1113" w:rsidP="00CD26A9">
            <w:pPr>
              <w:pStyle w:val="cTableText"/>
            </w:pPr>
            <w:r w:rsidRPr="000F327C">
              <w:t>Not required.</w:t>
            </w:r>
          </w:p>
        </w:tc>
      </w:tr>
      <w:tr w:rsidR="006E1113" w:rsidRPr="000F327C" w14:paraId="3F2C8183" w14:textId="77777777" w:rsidTr="00CD26A9">
        <w:trPr>
          <w:gridAfter w:val="1"/>
          <w:wAfter w:w="45" w:type="dxa"/>
          <w:cantSplit/>
        </w:trPr>
        <w:tc>
          <w:tcPr>
            <w:tcW w:w="3622" w:type="dxa"/>
            <w:tcBorders>
              <w:top w:val="nil"/>
              <w:left w:val="nil"/>
              <w:bottom w:val="nil"/>
              <w:right w:val="nil"/>
            </w:tcBorders>
            <w:hideMark/>
          </w:tcPr>
          <w:p w14:paraId="2D5EBF3C" w14:textId="77777777" w:rsidR="006E1113" w:rsidRPr="000F327C" w:rsidRDefault="006E1113" w:rsidP="00CD26A9">
            <w:pPr>
              <w:pStyle w:val="cTableText"/>
              <w:ind w:left="965" w:hanging="475"/>
            </w:pPr>
            <w:r w:rsidRPr="000F327C">
              <w:t>c.</w:t>
            </w:r>
            <w:r w:rsidRPr="000F327C">
              <w:tab/>
              <w:t>RESERVED</w:t>
            </w:r>
          </w:p>
        </w:tc>
        <w:tc>
          <w:tcPr>
            <w:tcW w:w="5232" w:type="dxa"/>
            <w:tcBorders>
              <w:top w:val="nil"/>
              <w:left w:val="nil"/>
              <w:bottom w:val="nil"/>
              <w:right w:val="nil"/>
            </w:tcBorders>
            <w:hideMark/>
          </w:tcPr>
          <w:p w14:paraId="26DB1E77" w14:textId="77777777" w:rsidR="006E1113" w:rsidRPr="000F327C" w:rsidRDefault="006E1113" w:rsidP="00CD26A9">
            <w:pPr>
              <w:pStyle w:val="cTableText"/>
            </w:pPr>
            <w:r w:rsidRPr="000F327C">
              <w:t>Reserved for NUCC use.</w:t>
            </w:r>
          </w:p>
        </w:tc>
      </w:tr>
      <w:tr w:rsidR="006E1113" w:rsidRPr="000F327C" w14:paraId="3F8A7008" w14:textId="77777777" w:rsidTr="00CD26A9">
        <w:trPr>
          <w:gridAfter w:val="1"/>
          <w:wAfter w:w="45" w:type="dxa"/>
          <w:cantSplit/>
        </w:trPr>
        <w:tc>
          <w:tcPr>
            <w:tcW w:w="3622" w:type="dxa"/>
            <w:tcBorders>
              <w:top w:val="nil"/>
              <w:left w:val="nil"/>
              <w:bottom w:val="single" w:sz="6" w:space="0" w:color="000000"/>
              <w:right w:val="nil"/>
            </w:tcBorders>
            <w:hideMark/>
          </w:tcPr>
          <w:p w14:paraId="297166F7" w14:textId="77777777" w:rsidR="006E1113" w:rsidRPr="000F327C" w:rsidRDefault="006E1113" w:rsidP="00CD26A9">
            <w:pPr>
              <w:pStyle w:val="cTableText"/>
              <w:ind w:left="965" w:hanging="475"/>
            </w:pPr>
            <w:r w:rsidRPr="000F327C">
              <w:lastRenderedPageBreak/>
              <w:t>d.</w:t>
            </w:r>
            <w:r w:rsidRPr="000F327C">
              <w:tab/>
              <w:t>INSURANCE PLAN NAME OR PROGRAM NAME</w:t>
            </w:r>
          </w:p>
        </w:tc>
        <w:tc>
          <w:tcPr>
            <w:tcW w:w="5232" w:type="dxa"/>
            <w:tcBorders>
              <w:top w:val="nil"/>
              <w:left w:val="nil"/>
              <w:bottom w:val="single" w:sz="6" w:space="0" w:color="000000"/>
              <w:right w:val="nil"/>
            </w:tcBorders>
            <w:hideMark/>
          </w:tcPr>
          <w:p w14:paraId="7E87EC8A" w14:textId="77777777" w:rsidR="006E1113" w:rsidRPr="000F327C" w:rsidRDefault="006E1113" w:rsidP="00CD26A9">
            <w:pPr>
              <w:pStyle w:val="cTableText"/>
            </w:pPr>
            <w:r w:rsidRPr="000F327C">
              <w:t>Name of the insurance company.</w:t>
            </w:r>
          </w:p>
        </w:tc>
      </w:tr>
      <w:tr w:rsidR="006E1113" w:rsidRPr="000F327C" w14:paraId="4CC4B895" w14:textId="77777777" w:rsidTr="00CD26A9">
        <w:trPr>
          <w:gridAfter w:val="1"/>
          <w:wAfter w:w="45" w:type="dxa"/>
          <w:cantSplit/>
        </w:trPr>
        <w:tc>
          <w:tcPr>
            <w:tcW w:w="3622" w:type="dxa"/>
            <w:tcBorders>
              <w:top w:val="single" w:sz="6" w:space="0" w:color="000000"/>
              <w:left w:val="nil"/>
              <w:bottom w:val="nil"/>
              <w:right w:val="nil"/>
            </w:tcBorders>
            <w:hideMark/>
          </w:tcPr>
          <w:p w14:paraId="3CF8AD29" w14:textId="77777777" w:rsidR="006E1113" w:rsidRPr="000F327C" w:rsidRDefault="006E1113" w:rsidP="00CD26A9">
            <w:pPr>
              <w:pStyle w:val="cTableText"/>
              <w:ind w:left="475" w:hanging="475"/>
            </w:pPr>
            <w:r w:rsidRPr="000F327C">
              <w:t>10.</w:t>
            </w:r>
            <w:r w:rsidRPr="000F327C">
              <w:tab/>
              <w:t>IS PATIENT’S CONDITION RELATED TO:</w:t>
            </w:r>
          </w:p>
        </w:tc>
        <w:tc>
          <w:tcPr>
            <w:tcW w:w="5232" w:type="dxa"/>
            <w:tcBorders>
              <w:top w:val="single" w:sz="6" w:space="0" w:color="000000"/>
              <w:left w:val="nil"/>
              <w:bottom w:val="nil"/>
              <w:right w:val="nil"/>
            </w:tcBorders>
          </w:tcPr>
          <w:p w14:paraId="2B17D7F6" w14:textId="77777777" w:rsidR="006E1113" w:rsidRPr="000F327C" w:rsidRDefault="006E1113" w:rsidP="00CD26A9">
            <w:pPr>
              <w:pStyle w:val="cTableText"/>
            </w:pPr>
          </w:p>
        </w:tc>
      </w:tr>
      <w:tr w:rsidR="006E1113" w:rsidRPr="000F327C" w14:paraId="6FFA9949" w14:textId="77777777" w:rsidTr="00CD26A9">
        <w:trPr>
          <w:gridAfter w:val="1"/>
          <w:wAfter w:w="45" w:type="dxa"/>
          <w:cantSplit/>
        </w:trPr>
        <w:tc>
          <w:tcPr>
            <w:tcW w:w="3622" w:type="dxa"/>
            <w:tcBorders>
              <w:top w:val="nil"/>
              <w:left w:val="nil"/>
              <w:bottom w:val="nil"/>
              <w:right w:val="nil"/>
            </w:tcBorders>
            <w:hideMark/>
          </w:tcPr>
          <w:p w14:paraId="31E9F928" w14:textId="77777777" w:rsidR="006E1113" w:rsidRPr="000F327C" w:rsidRDefault="006E1113" w:rsidP="00CD26A9">
            <w:pPr>
              <w:pStyle w:val="cTableText"/>
              <w:ind w:left="965" w:hanging="475"/>
            </w:pPr>
            <w:r w:rsidRPr="000F327C">
              <w:t>a.</w:t>
            </w:r>
            <w:r w:rsidRPr="000F327C">
              <w:tab/>
              <w:t>EMPLOYMENT? (Current or Previous)</w:t>
            </w:r>
          </w:p>
        </w:tc>
        <w:tc>
          <w:tcPr>
            <w:tcW w:w="5232" w:type="dxa"/>
            <w:tcBorders>
              <w:top w:val="nil"/>
              <w:left w:val="nil"/>
              <w:bottom w:val="nil"/>
              <w:right w:val="nil"/>
            </w:tcBorders>
            <w:hideMark/>
          </w:tcPr>
          <w:p w14:paraId="780842E1" w14:textId="77777777" w:rsidR="006E1113" w:rsidRPr="000F327C" w:rsidRDefault="006E1113" w:rsidP="00CD26A9">
            <w:pPr>
              <w:pStyle w:val="cTableText"/>
            </w:pPr>
            <w:r w:rsidRPr="000F327C">
              <w:t>Check YES or NO.</w:t>
            </w:r>
          </w:p>
        </w:tc>
      </w:tr>
      <w:tr w:rsidR="006E1113" w:rsidRPr="000F327C" w14:paraId="76369E52" w14:textId="77777777" w:rsidTr="00CD26A9">
        <w:trPr>
          <w:gridAfter w:val="1"/>
          <w:wAfter w:w="45" w:type="dxa"/>
          <w:cantSplit/>
        </w:trPr>
        <w:tc>
          <w:tcPr>
            <w:tcW w:w="3622" w:type="dxa"/>
            <w:tcBorders>
              <w:top w:val="nil"/>
              <w:left w:val="nil"/>
              <w:bottom w:val="nil"/>
              <w:right w:val="nil"/>
            </w:tcBorders>
            <w:hideMark/>
          </w:tcPr>
          <w:p w14:paraId="7BD786EB" w14:textId="77777777" w:rsidR="006E1113" w:rsidRPr="000F327C" w:rsidRDefault="006E1113" w:rsidP="00CD26A9">
            <w:pPr>
              <w:pStyle w:val="cTableText"/>
              <w:ind w:left="965" w:hanging="475"/>
            </w:pPr>
            <w:r w:rsidRPr="000F327C">
              <w:t>b.</w:t>
            </w:r>
            <w:r w:rsidRPr="000F327C">
              <w:tab/>
              <w:t xml:space="preserve">AUTO ACCIDENT? </w:t>
            </w:r>
          </w:p>
        </w:tc>
        <w:tc>
          <w:tcPr>
            <w:tcW w:w="5232" w:type="dxa"/>
            <w:tcBorders>
              <w:top w:val="nil"/>
              <w:left w:val="nil"/>
              <w:bottom w:val="nil"/>
              <w:right w:val="nil"/>
            </w:tcBorders>
            <w:hideMark/>
          </w:tcPr>
          <w:p w14:paraId="165FD9E3" w14:textId="77777777" w:rsidR="006E1113" w:rsidRPr="000F327C" w:rsidRDefault="006E1113" w:rsidP="00CD26A9">
            <w:pPr>
              <w:pStyle w:val="cTableText"/>
            </w:pPr>
            <w:r w:rsidRPr="000F327C">
              <w:t>Required when an auto accident is related to the services.  Check YES or NO.</w:t>
            </w:r>
          </w:p>
        </w:tc>
      </w:tr>
      <w:tr w:rsidR="006E1113" w:rsidRPr="000F327C" w14:paraId="372BB317" w14:textId="77777777" w:rsidTr="00CD26A9">
        <w:trPr>
          <w:gridAfter w:val="1"/>
          <w:wAfter w:w="45" w:type="dxa"/>
          <w:cantSplit/>
        </w:trPr>
        <w:tc>
          <w:tcPr>
            <w:tcW w:w="3622" w:type="dxa"/>
            <w:tcBorders>
              <w:top w:val="nil"/>
              <w:left w:val="nil"/>
              <w:bottom w:val="nil"/>
              <w:right w:val="nil"/>
            </w:tcBorders>
            <w:hideMark/>
          </w:tcPr>
          <w:p w14:paraId="2864AD39" w14:textId="77777777" w:rsidR="006E1113" w:rsidRPr="000F327C" w:rsidRDefault="006E1113" w:rsidP="00CD26A9">
            <w:pPr>
              <w:pStyle w:val="cTableText"/>
              <w:ind w:left="965" w:hanging="475"/>
            </w:pPr>
            <w:r w:rsidRPr="000F327C">
              <w:tab/>
              <w:t>PLACE (State)</w:t>
            </w:r>
          </w:p>
        </w:tc>
        <w:tc>
          <w:tcPr>
            <w:tcW w:w="5232" w:type="dxa"/>
            <w:tcBorders>
              <w:top w:val="nil"/>
              <w:left w:val="nil"/>
              <w:bottom w:val="nil"/>
              <w:right w:val="nil"/>
            </w:tcBorders>
            <w:hideMark/>
          </w:tcPr>
          <w:p w14:paraId="395619E2" w14:textId="77777777" w:rsidR="006E1113" w:rsidRPr="000F327C" w:rsidRDefault="006E1113" w:rsidP="00CD26A9">
            <w:pPr>
              <w:pStyle w:val="cTableText"/>
            </w:pPr>
            <w:r w:rsidRPr="000F327C">
              <w:t>If 10b is YES, the two-letter postal abbreviation for the state in which the automobile accident took place.</w:t>
            </w:r>
          </w:p>
        </w:tc>
      </w:tr>
      <w:tr w:rsidR="006E1113" w:rsidRPr="000F327C" w14:paraId="66EF6E5A" w14:textId="77777777" w:rsidTr="00CD26A9">
        <w:trPr>
          <w:gridAfter w:val="1"/>
          <w:wAfter w:w="45" w:type="dxa"/>
          <w:cantSplit/>
        </w:trPr>
        <w:tc>
          <w:tcPr>
            <w:tcW w:w="3622" w:type="dxa"/>
            <w:tcBorders>
              <w:top w:val="nil"/>
              <w:left w:val="nil"/>
              <w:bottom w:val="nil"/>
              <w:right w:val="nil"/>
            </w:tcBorders>
            <w:hideMark/>
          </w:tcPr>
          <w:p w14:paraId="228257D8" w14:textId="77777777" w:rsidR="006E1113" w:rsidRPr="000F327C" w:rsidRDefault="006E1113" w:rsidP="00CD26A9">
            <w:pPr>
              <w:pStyle w:val="cTableText"/>
              <w:ind w:left="965" w:hanging="475"/>
            </w:pPr>
            <w:r w:rsidRPr="000F327C">
              <w:t>c.</w:t>
            </w:r>
            <w:r w:rsidRPr="000F327C">
              <w:tab/>
              <w:t>OTHER ACCIDENT?</w:t>
            </w:r>
          </w:p>
        </w:tc>
        <w:tc>
          <w:tcPr>
            <w:tcW w:w="5232" w:type="dxa"/>
            <w:tcBorders>
              <w:top w:val="nil"/>
              <w:left w:val="nil"/>
              <w:bottom w:val="nil"/>
              <w:right w:val="nil"/>
            </w:tcBorders>
            <w:hideMark/>
          </w:tcPr>
          <w:p w14:paraId="7D70AED0" w14:textId="77777777" w:rsidR="006E1113" w:rsidRPr="000F327C" w:rsidRDefault="006E1113" w:rsidP="00CD26A9">
            <w:pPr>
              <w:pStyle w:val="cTableText"/>
            </w:pPr>
            <w:r w:rsidRPr="000F327C">
              <w:t xml:space="preserve">Required when an accident other than </w:t>
            </w:r>
            <w:proofErr w:type="gramStart"/>
            <w:r w:rsidRPr="000F327C">
              <w:t>automobile</w:t>
            </w:r>
            <w:proofErr w:type="gramEnd"/>
            <w:r w:rsidRPr="000F327C">
              <w:t xml:space="preserve"> is related to the services.  Check YES or NO.</w:t>
            </w:r>
          </w:p>
        </w:tc>
      </w:tr>
      <w:tr w:rsidR="006E1113" w:rsidRPr="000F327C" w14:paraId="3A225062" w14:textId="77777777" w:rsidTr="00CD26A9">
        <w:trPr>
          <w:gridAfter w:val="1"/>
          <w:wAfter w:w="45" w:type="dxa"/>
          <w:cantSplit/>
        </w:trPr>
        <w:tc>
          <w:tcPr>
            <w:tcW w:w="3622" w:type="dxa"/>
            <w:tcBorders>
              <w:top w:val="nil"/>
              <w:left w:val="nil"/>
              <w:bottom w:val="single" w:sz="6" w:space="0" w:color="000000"/>
              <w:right w:val="nil"/>
            </w:tcBorders>
            <w:hideMark/>
          </w:tcPr>
          <w:p w14:paraId="0A69583A" w14:textId="77777777" w:rsidR="006E1113" w:rsidRPr="000F327C" w:rsidRDefault="006E1113" w:rsidP="00CD26A9">
            <w:pPr>
              <w:pStyle w:val="cTableText"/>
              <w:ind w:left="965" w:hanging="475"/>
            </w:pPr>
            <w:r w:rsidRPr="000F327C">
              <w:t>d.</w:t>
            </w:r>
            <w:r w:rsidRPr="000F327C">
              <w:tab/>
              <w:t>CLAIM CODES</w:t>
            </w:r>
          </w:p>
        </w:tc>
        <w:tc>
          <w:tcPr>
            <w:tcW w:w="5232" w:type="dxa"/>
            <w:tcBorders>
              <w:top w:val="nil"/>
              <w:left w:val="nil"/>
              <w:bottom w:val="single" w:sz="6" w:space="0" w:color="000000"/>
              <w:right w:val="nil"/>
            </w:tcBorders>
            <w:hideMark/>
          </w:tcPr>
          <w:p w14:paraId="066A6145" w14:textId="77777777" w:rsidR="006E1113" w:rsidRPr="000F327C" w:rsidRDefault="006E1113" w:rsidP="00CD26A9">
            <w:pPr>
              <w:pStyle w:val="cTableText"/>
            </w:pPr>
            <w:r w:rsidRPr="000F327C">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w:t>
            </w:r>
            <w:proofErr w:type="gramStart"/>
            <w:r w:rsidRPr="000F327C">
              <w:t>approved</w:t>
            </w:r>
            <w:proofErr w:type="gramEnd"/>
            <w:r w:rsidRPr="000F327C">
              <w:t xml:space="preserve"> Condition Codes is found at </w:t>
            </w:r>
            <w:hyperlink r:id="rId26" w:history="1">
              <w:r w:rsidRPr="000F327C">
                <w:rPr>
                  <w:rStyle w:val="Hyperlink"/>
                </w:rPr>
                <w:t>www.nucc.org</w:t>
              </w:r>
            </w:hyperlink>
            <w:r w:rsidRPr="000F327C">
              <w:t xml:space="preserve"> under Code Sets.</w:t>
            </w:r>
          </w:p>
        </w:tc>
      </w:tr>
      <w:tr w:rsidR="006E1113" w:rsidRPr="000F327C" w14:paraId="417B313E" w14:textId="77777777" w:rsidTr="00CD26A9">
        <w:trPr>
          <w:gridAfter w:val="1"/>
          <w:wAfter w:w="45" w:type="dxa"/>
          <w:cantSplit/>
        </w:trPr>
        <w:tc>
          <w:tcPr>
            <w:tcW w:w="3622" w:type="dxa"/>
            <w:tcBorders>
              <w:top w:val="single" w:sz="6" w:space="0" w:color="000000"/>
              <w:left w:val="nil"/>
              <w:bottom w:val="nil"/>
              <w:right w:val="nil"/>
            </w:tcBorders>
            <w:hideMark/>
          </w:tcPr>
          <w:p w14:paraId="5172A1E8" w14:textId="77777777" w:rsidR="006E1113" w:rsidRPr="000F327C" w:rsidRDefault="006E1113" w:rsidP="00CD26A9">
            <w:pPr>
              <w:pStyle w:val="cTableText"/>
              <w:ind w:left="475" w:hanging="475"/>
            </w:pPr>
            <w:r w:rsidRPr="000F327C">
              <w:t>11.</w:t>
            </w:r>
            <w:r w:rsidRPr="000F327C">
              <w:tab/>
              <w:t>INSURED’S POLICY GROUP OR FECA NUMBER</w:t>
            </w:r>
          </w:p>
        </w:tc>
        <w:tc>
          <w:tcPr>
            <w:tcW w:w="5232" w:type="dxa"/>
            <w:tcBorders>
              <w:top w:val="single" w:sz="6" w:space="0" w:color="000000"/>
              <w:left w:val="nil"/>
              <w:bottom w:val="nil"/>
              <w:right w:val="nil"/>
            </w:tcBorders>
            <w:hideMark/>
          </w:tcPr>
          <w:p w14:paraId="35BA271C" w14:textId="77777777" w:rsidR="006E1113" w:rsidRPr="000F327C" w:rsidRDefault="006E1113" w:rsidP="00CD26A9">
            <w:pPr>
              <w:pStyle w:val="cTableText"/>
            </w:pPr>
            <w:r w:rsidRPr="000F327C">
              <w:t xml:space="preserve">Not required when Medicaid is the only </w:t>
            </w:r>
            <w:proofErr w:type="spellStart"/>
            <w:r w:rsidRPr="000F327C">
              <w:t>payer</w:t>
            </w:r>
            <w:proofErr w:type="spellEnd"/>
            <w:r w:rsidRPr="000F327C">
              <w:t>.</w:t>
            </w:r>
          </w:p>
        </w:tc>
      </w:tr>
      <w:tr w:rsidR="006E1113" w:rsidRPr="000F327C" w14:paraId="5E14870B" w14:textId="77777777" w:rsidTr="00CD26A9">
        <w:trPr>
          <w:gridAfter w:val="1"/>
          <w:wAfter w:w="45" w:type="dxa"/>
          <w:cantSplit/>
        </w:trPr>
        <w:tc>
          <w:tcPr>
            <w:tcW w:w="3622" w:type="dxa"/>
            <w:tcBorders>
              <w:top w:val="nil"/>
              <w:left w:val="nil"/>
              <w:bottom w:val="nil"/>
              <w:right w:val="nil"/>
            </w:tcBorders>
            <w:hideMark/>
          </w:tcPr>
          <w:p w14:paraId="2E1CE9B9" w14:textId="77777777" w:rsidR="006E1113" w:rsidRPr="000F327C" w:rsidRDefault="006E1113" w:rsidP="00CD26A9">
            <w:pPr>
              <w:pStyle w:val="cTableText"/>
              <w:ind w:left="965" w:hanging="475"/>
            </w:pPr>
            <w:r w:rsidRPr="000F327C">
              <w:t>a.</w:t>
            </w:r>
            <w:r w:rsidRPr="000F327C">
              <w:tab/>
              <w:t>INSURED’S DATE OF BIRTH</w:t>
            </w:r>
          </w:p>
        </w:tc>
        <w:tc>
          <w:tcPr>
            <w:tcW w:w="5232" w:type="dxa"/>
            <w:tcBorders>
              <w:top w:val="nil"/>
              <w:left w:val="nil"/>
              <w:bottom w:val="nil"/>
              <w:right w:val="nil"/>
            </w:tcBorders>
            <w:hideMark/>
          </w:tcPr>
          <w:p w14:paraId="263F1BA6" w14:textId="77777777" w:rsidR="006E1113" w:rsidRPr="000F327C" w:rsidRDefault="006E1113" w:rsidP="00CD26A9">
            <w:pPr>
              <w:pStyle w:val="cTableText"/>
            </w:pPr>
            <w:r w:rsidRPr="000F327C">
              <w:t>Not required.</w:t>
            </w:r>
          </w:p>
        </w:tc>
      </w:tr>
      <w:tr w:rsidR="006E1113" w:rsidRPr="000F327C" w14:paraId="20DF0BA6" w14:textId="77777777" w:rsidTr="00CD26A9">
        <w:trPr>
          <w:gridAfter w:val="1"/>
          <w:wAfter w:w="45" w:type="dxa"/>
          <w:cantSplit/>
        </w:trPr>
        <w:tc>
          <w:tcPr>
            <w:tcW w:w="3622" w:type="dxa"/>
            <w:tcBorders>
              <w:top w:val="nil"/>
              <w:left w:val="nil"/>
              <w:bottom w:val="nil"/>
              <w:right w:val="nil"/>
            </w:tcBorders>
            <w:hideMark/>
          </w:tcPr>
          <w:p w14:paraId="548DA5BC" w14:textId="77777777" w:rsidR="006E1113" w:rsidRPr="000F327C" w:rsidRDefault="006E1113" w:rsidP="00CD26A9">
            <w:pPr>
              <w:pStyle w:val="cTableText"/>
              <w:ind w:left="965" w:hanging="475"/>
            </w:pPr>
            <w:r w:rsidRPr="000F327C">
              <w:tab/>
              <w:t>SEX</w:t>
            </w:r>
          </w:p>
        </w:tc>
        <w:tc>
          <w:tcPr>
            <w:tcW w:w="5232" w:type="dxa"/>
            <w:tcBorders>
              <w:top w:val="nil"/>
              <w:left w:val="nil"/>
              <w:bottom w:val="nil"/>
              <w:right w:val="nil"/>
            </w:tcBorders>
            <w:hideMark/>
          </w:tcPr>
          <w:p w14:paraId="591BF6FC" w14:textId="77777777" w:rsidR="006E1113" w:rsidRPr="000F327C" w:rsidRDefault="006E1113" w:rsidP="00CD26A9">
            <w:pPr>
              <w:pStyle w:val="cTableText"/>
            </w:pPr>
            <w:r w:rsidRPr="000F327C">
              <w:t>Not required.</w:t>
            </w:r>
          </w:p>
        </w:tc>
      </w:tr>
      <w:tr w:rsidR="006E1113" w:rsidRPr="000F327C" w14:paraId="51367889" w14:textId="77777777" w:rsidTr="00CD26A9">
        <w:trPr>
          <w:gridAfter w:val="1"/>
          <w:wAfter w:w="45" w:type="dxa"/>
          <w:cantSplit/>
        </w:trPr>
        <w:tc>
          <w:tcPr>
            <w:tcW w:w="3622" w:type="dxa"/>
            <w:tcBorders>
              <w:top w:val="nil"/>
              <w:left w:val="nil"/>
              <w:bottom w:val="nil"/>
              <w:right w:val="nil"/>
            </w:tcBorders>
            <w:hideMark/>
          </w:tcPr>
          <w:p w14:paraId="27CE9A93" w14:textId="77777777" w:rsidR="006E1113" w:rsidRPr="000F327C" w:rsidRDefault="006E1113" w:rsidP="00CD26A9">
            <w:pPr>
              <w:pStyle w:val="cTableText"/>
              <w:ind w:left="965" w:hanging="475"/>
            </w:pPr>
            <w:r w:rsidRPr="000F327C">
              <w:t>b.</w:t>
            </w:r>
            <w:r w:rsidRPr="000F327C">
              <w:tab/>
              <w:t>OTHER CLAIM ID NUMBER</w:t>
            </w:r>
          </w:p>
        </w:tc>
        <w:tc>
          <w:tcPr>
            <w:tcW w:w="5232" w:type="dxa"/>
            <w:tcBorders>
              <w:top w:val="nil"/>
              <w:left w:val="nil"/>
              <w:bottom w:val="nil"/>
              <w:right w:val="nil"/>
            </w:tcBorders>
            <w:hideMark/>
          </w:tcPr>
          <w:p w14:paraId="3C0CC6E1" w14:textId="77777777" w:rsidR="006E1113" w:rsidRPr="000F327C" w:rsidRDefault="006E1113" w:rsidP="00CD26A9">
            <w:pPr>
              <w:pStyle w:val="cTableText"/>
            </w:pPr>
            <w:r w:rsidRPr="000F327C">
              <w:t>Not required.</w:t>
            </w:r>
          </w:p>
        </w:tc>
      </w:tr>
      <w:tr w:rsidR="006E1113" w:rsidRPr="000F327C" w14:paraId="60DFE66E" w14:textId="77777777" w:rsidTr="00CD26A9">
        <w:trPr>
          <w:gridAfter w:val="1"/>
          <w:wAfter w:w="45" w:type="dxa"/>
          <w:cantSplit/>
        </w:trPr>
        <w:tc>
          <w:tcPr>
            <w:tcW w:w="3622" w:type="dxa"/>
            <w:tcBorders>
              <w:top w:val="nil"/>
              <w:left w:val="nil"/>
              <w:bottom w:val="nil"/>
              <w:right w:val="nil"/>
            </w:tcBorders>
            <w:hideMark/>
          </w:tcPr>
          <w:p w14:paraId="31BAEE98" w14:textId="77777777" w:rsidR="006E1113" w:rsidRPr="000F327C" w:rsidRDefault="006E1113" w:rsidP="00CD26A9">
            <w:pPr>
              <w:pStyle w:val="cTableText"/>
              <w:ind w:left="965" w:hanging="475"/>
            </w:pPr>
            <w:r w:rsidRPr="000F327C">
              <w:t>c.</w:t>
            </w:r>
            <w:r w:rsidRPr="000F327C">
              <w:tab/>
              <w:t>INSURANCE PLAN NAME OR PROGRAM NAME</w:t>
            </w:r>
          </w:p>
        </w:tc>
        <w:tc>
          <w:tcPr>
            <w:tcW w:w="5232" w:type="dxa"/>
            <w:tcBorders>
              <w:top w:val="nil"/>
              <w:left w:val="nil"/>
              <w:bottom w:val="nil"/>
              <w:right w:val="nil"/>
            </w:tcBorders>
            <w:hideMark/>
          </w:tcPr>
          <w:p w14:paraId="6B601A5A" w14:textId="77777777" w:rsidR="006E1113" w:rsidRPr="000F327C" w:rsidRDefault="006E1113" w:rsidP="00CD26A9">
            <w:pPr>
              <w:pStyle w:val="cTableText"/>
            </w:pPr>
            <w:r w:rsidRPr="000F327C">
              <w:t>Not required.</w:t>
            </w:r>
          </w:p>
        </w:tc>
      </w:tr>
      <w:tr w:rsidR="006E1113" w:rsidRPr="000F327C" w14:paraId="44A002F6" w14:textId="77777777" w:rsidTr="00CD26A9">
        <w:trPr>
          <w:gridAfter w:val="1"/>
          <w:wAfter w:w="45" w:type="dxa"/>
          <w:cantSplit/>
        </w:trPr>
        <w:tc>
          <w:tcPr>
            <w:tcW w:w="3622" w:type="dxa"/>
            <w:tcBorders>
              <w:top w:val="nil"/>
              <w:left w:val="nil"/>
              <w:bottom w:val="single" w:sz="6" w:space="0" w:color="000000"/>
              <w:right w:val="nil"/>
            </w:tcBorders>
            <w:hideMark/>
          </w:tcPr>
          <w:p w14:paraId="0897EDFE" w14:textId="77777777" w:rsidR="006E1113" w:rsidRPr="000F327C" w:rsidRDefault="006E1113" w:rsidP="00CD26A9">
            <w:pPr>
              <w:pStyle w:val="cTableText"/>
              <w:ind w:left="965" w:hanging="475"/>
            </w:pPr>
            <w:r w:rsidRPr="000F327C">
              <w:t>d.</w:t>
            </w:r>
            <w:r w:rsidRPr="000F327C">
              <w:tab/>
              <w:t>IS THERE ANOTHER HEALTH BENEFIT PLAN?</w:t>
            </w:r>
          </w:p>
        </w:tc>
        <w:tc>
          <w:tcPr>
            <w:tcW w:w="5232" w:type="dxa"/>
            <w:tcBorders>
              <w:top w:val="nil"/>
              <w:left w:val="nil"/>
              <w:bottom w:val="single" w:sz="6" w:space="0" w:color="000000"/>
              <w:right w:val="nil"/>
            </w:tcBorders>
            <w:hideMark/>
          </w:tcPr>
          <w:p w14:paraId="4791EF8E" w14:textId="77777777" w:rsidR="006E1113" w:rsidRPr="000F327C" w:rsidRDefault="006E1113" w:rsidP="00CD26A9">
            <w:pPr>
              <w:pStyle w:val="cTableText"/>
            </w:pPr>
            <w:r w:rsidRPr="000F327C">
              <w:t>When private or other insurance may or will cover any of the services, check YES and complete items 9, 9a and 9d. Only one box can be marked.</w:t>
            </w:r>
          </w:p>
        </w:tc>
      </w:tr>
      <w:tr w:rsidR="006E1113" w:rsidRPr="000F327C" w14:paraId="35EDF111"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499E722E" w14:textId="77777777" w:rsidR="006E1113" w:rsidRPr="000F327C" w:rsidRDefault="006E1113" w:rsidP="00CD26A9">
            <w:pPr>
              <w:pStyle w:val="cTableText"/>
              <w:ind w:left="475" w:hanging="475"/>
            </w:pPr>
            <w:r w:rsidRPr="000F327C">
              <w:t>12.</w:t>
            </w:r>
            <w:r w:rsidRPr="000F327C">
              <w:tab/>
              <w:t>PATIENT’S OR AUTHORIZED PERSON’S SIGNATURE</w:t>
            </w:r>
          </w:p>
        </w:tc>
        <w:tc>
          <w:tcPr>
            <w:tcW w:w="5232" w:type="dxa"/>
            <w:tcBorders>
              <w:top w:val="single" w:sz="6" w:space="0" w:color="000000"/>
              <w:left w:val="nil"/>
              <w:bottom w:val="single" w:sz="6" w:space="0" w:color="000000"/>
              <w:right w:val="nil"/>
            </w:tcBorders>
            <w:hideMark/>
          </w:tcPr>
          <w:p w14:paraId="5E8F2E3E" w14:textId="77777777" w:rsidR="006E1113" w:rsidRPr="000F327C" w:rsidRDefault="006E1113" w:rsidP="00CD26A9">
            <w:pPr>
              <w:pStyle w:val="cTableText"/>
            </w:pPr>
            <w:r w:rsidRPr="000F327C">
              <w:t xml:space="preserve"> Enter “Signature on File,” “SOF” or legal signature.</w:t>
            </w:r>
          </w:p>
        </w:tc>
      </w:tr>
      <w:tr w:rsidR="006E1113" w:rsidRPr="000F327C" w14:paraId="746514DA"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0445EC46" w14:textId="77777777" w:rsidR="006E1113" w:rsidRPr="000F327C" w:rsidRDefault="006E1113" w:rsidP="00CD26A9">
            <w:pPr>
              <w:pStyle w:val="cTableText"/>
              <w:ind w:left="475" w:hanging="475"/>
            </w:pPr>
            <w:r w:rsidRPr="000F327C">
              <w:t>13.</w:t>
            </w:r>
            <w:r w:rsidRPr="000F327C">
              <w:tab/>
              <w:t>INSURED’S OR AUTHORIZED PERSON’S SIGNATURE</w:t>
            </w:r>
          </w:p>
        </w:tc>
        <w:tc>
          <w:tcPr>
            <w:tcW w:w="5232" w:type="dxa"/>
            <w:tcBorders>
              <w:top w:val="single" w:sz="6" w:space="0" w:color="000000"/>
              <w:left w:val="nil"/>
              <w:bottom w:val="single" w:sz="6" w:space="0" w:color="000000"/>
              <w:right w:val="nil"/>
            </w:tcBorders>
            <w:hideMark/>
          </w:tcPr>
          <w:p w14:paraId="0985FDC5" w14:textId="77777777" w:rsidR="006E1113" w:rsidRPr="000F327C" w:rsidRDefault="006E1113" w:rsidP="00CD26A9">
            <w:pPr>
              <w:pStyle w:val="cTableText"/>
            </w:pPr>
            <w:r w:rsidRPr="000F327C">
              <w:t xml:space="preserve"> Enter “Signature on File,” “SOF” or legal signature.</w:t>
            </w:r>
          </w:p>
        </w:tc>
      </w:tr>
      <w:tr w:rsidR="006E1113" w:rsidRPr="000F327C" w14:paraId="1813BED2"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64DDE86D" w14:textId="77777777" w:rsidR="006E1113" w:rsidRPr="000F327C" w:rsidRDefault="006E1113" w:rsidP="00CD26A9">
            <w:pPr>
              <w:pStyle w:val="cTableText"/>
              <w:ind w:left="475" w:hanging="475"/>
            </w:pPr>
            <w:r w:rsidRPr="000F327C">
              <w:t>14.</w:t>
            </w:r>
            <w:r w:rsidRPr="000F327C">
              <w:tab/>
              <w:t>DATE OF CURRENT:</w:t>
            </w:r>
          </w:p>
          <w:p w14:paraId="302A99E8" w14:textId="77777777" w:rsidR="006E1113" w:rsidRPr="000F327C" w:rsidRDefault="006E1113" w:rsidP="00CD26A9">
            <w:pPr>
              <w:pStyle w:val="cnumbered"/>
              <w:ind w:left="475" w:firstLine="0"/>
            </w:pPr>
            <w:r w:rsidRPr="000F327C">
              <w:t>ILLNESS (First symptom) OR</w:t>
            </w:r>
            <w:r w:rsidRPr="000F327C">
              <w:br/>
              <w:t>INJURY (Accident) OR</w:t>
            </w:r>
            <w:r w:rsidRPr="000F327C">
              <w:br/>
              <w:t>PREGNANCY (LMP)</w:t>
            </w:r>
          </w:p>
        </w:tc>
        <w:tc>
          <w:tcPr>
            <w:tcW w:w="5232" w:type="dxa"/>
            <w:tcBorders>
              <w:top w:val="single" w:sz="6" w:space="0" w:color="000000"/>
              <w:left w:val="nil"/>
              <w:bottom w:val="single" w:sz="6" w:space="0" w:color="000000"/>
              <w:right w:val="nil"/>
            </w:tcBorders>
          </w:tcPr>
          <w:p w14:paraId="6D5F19DE" w14:textId="77777777" w:rsidR="006E1113" w:rsidRPr="000F327C" w:rsidRDefault="006E1113" w:rsidP="00CD26A9">
            <w:pPr>
              <w:pStyle w:val="cTableText"/>
            </w:pPr>
            <w:r w:rsidRPr="000F327C">
              <w:t>Required when services furnished are related to an accident, whether the accident is recent or in the past.  Date of the accident.</w:t>
            </w:r>
          </w:p>
          <w:p w14:paraId="74704983" w14:textId="77777777" w:rsidR="006E1113" w:rsidRPr="000F327C" w:rsidRDefault="006E1113" w:rsidP="00CD26A9">
            <w:pPr>
              <w:pStyle w:val="cTableText"/>
            </w:pPr>
          </w:p>
          <w:p w14:paraId="12C12E23" w14:textId="77777777" w:rsidR="006E1113" w:rsidRPr="000F327C" w:rsidRDefault="006E1113" w:rsidP="00CD26A9">
            <w:pPr>
              <w:pStyle w:val="cTableText"/>
            </w:pPr>
            <w:r w:rsidRPr="000F327C">
              <w:t>Enter the qualifier to the right of the vertical dotted line. Use Qualifier 431 Onset of Current Symptoms or Illness; 484 Last Menstrual Period.</w:t>
            </w:r>
          </w:p>
        </w:tc>
      </w:tr>
      <w:tr w:rsidR="006E1113" w:rsidRPr="000F327C" w14:paraId="782D97D8"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488C4A6A" w14:textId="77777777" w:rsidR="006E1113" w:rsidRPr="000F327C" w:rsidRDefault="006E1113" w:rsidP="00CD26A9">
            <w:pPr>
              <w:pStyle w:val="cTableText"/>
              <w:ind w:left="475" w:hanging="475"/>
            </w:pPr>
            <w:r w:rsidRPr="000F327C">
              <w:lastRenderedPageBreak/>
              <w:t>15.</w:t>
            </w:r>
            <w:r w:rsidRPr="000F327C">
              <w:tab/>
              <w:t>OTHER DATE</w:t>
            </w:r>
          </w:p>
        </w:tc>
        <w:tc>
          <w:tcPr>
            <w:tcW w:w="5232" w:type="dxa"/>
            <w:tcBorders>
              <w:top w:val="single" w:sz="6" w:space="0" w:color="000000"/>
              <w:left w:val="nil"/>
              <w:bottom w:val="single" w:sz="6" w:space="0" w:color="000000"/>
              <w:right w:val="nil"/>
            </w:tcBorders>
            <w:hideMark/>
          </w:tcPr>
          <w:p w14:paraId="490FB354" w14:textId="77777777" w:rsidR="006E1113" w:rsidRPr="000F327C" w:rsidRDefault="006E1113" w:rsidP="00CD26A9">
            <w:pPr>
              <w:pStyle w:val="cTableText"/>
            </w:pPr>
            <w:r w:rsidRPr="000F327C">
              <w:t xml:space="preserve">Enter another date related to the beneficiary’s condition or treatment. Enter the qualifier between the left-hand set of vertical, dotted lines. </w:t>
            </w:r>
          </w:p>
          <w:p w14:paraId="7A5F69CA" w14:textId="77777777" w:rsidR="006E1113" w:rsidRPr="000F327C" w:rsidRDefault="006E1113" w:rsidP="00CD26A9">
            <w:pPr>
              <w:pStyle w:val="cTableText"/>
            </w:pPr>
            <w:r w:rsidRPr="000F327C">
              <w:t xml:space="preserve">The “Other Date” identifies additional date information about the beneficiary’s condition or treatment. Use qualifiers: </w:t>
            </w:r>
          </w:p>
          <w:p w14:paraId="396A6724" w14:textId="77777777" w:rsidR="006E1113" w:rsidRPr="000F327C" w:rsidRDefault="006E1113" w:rsidP="00CD26A9">
            <w:pPr>
              <w:pStyle w:val="cTableText"/>
              <w:ind w:left="475" w:hanging="475"/>
            </w:pPr>
            <w:r w:rsidRPr="000F327C">
              <w:t>454 Initial Treatment</w:t>
            </w:r>
          </w:p>
          <w:p w14:paraId="42039430" w14:textId="77777777" w:rsidR="006E1113" w:rsidRPr="000F327C" w:rsidRDefault="006E1113" w:rsidP="00CD26A9">
            <w:pPr>
              <w:pStyle w:val="cTableText"/>
              <w:ind w:left="475" w:hanging="475"/>
            </w:pPr>
            <w:r w:rsidRPr="000F327C">
              <w:t>304 Latest Visit or Consultation</w:t>
            </w:r>
          </w:p>
          <w:p w14:paraId="1E58D38D" w14:textId="77777777" w:rsidR="006E1113" w:rsidRPr="000F327C" w:rsidRDefault="006E1113" w:rsidP="00CD26A9">
            <w:pPr>
              <w:pStyle w:val="cTableText"/>
              <w:ind w:left="475" w:hanging="475"/>
            </w:pPr>
            <w:r w:rsidRPr="000F327C">
              <w:t>453 Acute Manifestation of a Chronic Condition</w:t>
            </w:r>
          </w:p>
          <w:p w14:paraId="50B88118" w14:textId="77777777" w:rsidR="006E1113" w:rsidRPr="000F327C" w:rsidRDefault="006E1113" w:rsidP="00CD26A9">
            <w:pPr>
              <w:pStyle w:val="cTableText"/>
              <w:ind w:left="475" w:hanging="475"/>
            </w:pPr>
            <w:r w:rsidRPr="000F327C">
              <w:t>439 Accident</w:t>
            </w:r>
          </w:p>
          <w:p w14:paraId="513D4A63" w14:textId="77777777" w:rsidR="006E1113" w:rsidRPr="000F327C" w:rsidRDefault="006E1113" w:rsidP="00CD26A9">
            <w:pPr>
              <w:pStyle w:val="cTableText"/>
              <w:ind w:left="475" w:hanging="475"/>
            </w:pPr>
            <w:r w:rsidRPr="000F327C">
              <w:t xml:space="preserve">455 Last X-Ray </w:t>
            </w:r>
          </w:p>
          <w:p w14:paraId="375B9B8C" w14:textId="77777777" w:rsidR="006E1113" w:rsidRPr="000F327C" w:rsidRDefault="006E1113" w:rsidP="00CD26A9">
            <w:pPr>
              <w:pStyle w:val="cTableText"/>
              <w:ind w:left="475" w:hanging="475"/>
            </w:pPr>
            <w:r w:rsidRPr="000F327C">
              <w:t>471 Prescription</w:t>
            </w:r>
          </w:p>
          <w:p w14:paraId="506B0CB2" w14:textId="77777777" w:rsidR="006E1113" w:rsidRPr="000F327C" w:rsidRDefault="006E1113" w:rsidP="00CD26A9">
            <w:pPr>
              <w:pStyle w:val="cTableText"/>
              <w:ind w:left="475" w:hanging="475"/>
            </w:pPr>
            <w:r w:rsidRPr="000F327C">
              <w:t>090 Report Start (Assumed Care Date)</w:t>
            </w:r>
          </w:p>
          <w:p w14:paraId="35D2E367" w14:textId="77777777" w:rsidR="006E1113" w:rsidRPr="000F327C" w:rsidRDefault="006E1113" w:rsidP="00CD26A9">
            <w:pPr>
              <w:pStyle w:val="cTableText"/>
              <w:ind w:left="475" w:hanging="475"/>
            </w:pPr>
            <w:r w:rsidRPr="000F327C">
              <w:t>091 Report End (Relinquished Care Date)</w:t>
            </w:r>
          </w:p>
          <w:p w14:paraId="766ABEFB" w14:textId="77777777" w:rsidR="006E1113" w:rsidRPr="000F327C" w:rsidRDefault="006E1113" w:rsidP="00CD26A9">
            <w:pPr>
              <w:pStyle w:val="cTableText"/>
            </w:pPr>
            <w:r w:rsidRPr="000F327C">
              <w:t>444 First Visit or Consultation</w:t>
            </w:r>
          </w:p>
        </w:tc>
      </w:tr>
      <w:tr w:rsidR="006E1113" w:rsidRPr="000F327C" w14:paraId="17B0CF12"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082732A2" w14:textId="77777777" w:rsidR="006E1113" w:rsidRPr="000F327C" w:rsidRDefault="006E1113" w:rsidP="00CD26A9">
            <w:pPr>
              <w:pStyle w:val="cTableText"/>
              <w:ind w:left="475" w:hanging="475"/>
            </w:pPr>
            <w:r w:rsidRPr="000F327C">
              <w:t>16.</w:t>
            </w:r>
            <w:r w:rsidRPr="000F327C">
              <w:tab/>
              <w:t xml:space="preserve">DATES PATIENT UNABLE TO WORK IN CURRENT OCCUPATION </w:t>
            </w:r>
          </w:p>
        </w:tc>
        <w:tc>
          <w:tcPr>
            <w:tcW w:w="5232" w:type="dxa"/>
            <w:tcBorders>
              <w:top w:val="single" w:sz="6" w:space="0" w:color="000000"/>
              <w:left w:val="nil"/>
              <w:bottom w:val="single" w:sz="6" w:space="0" w:color="000000"/>
              <w:right w:val="nil"/>
            </w:tcBorders>
            <w:hideMark/>
          </w:tcPr>
          <w:p w14:paraId="62CE1963" w14:textId="77777777" w:rsidR="006E1113" w:rsidRPr="000F327C" w:rsidRDefault="006E1113" w:rsidP="00CD26A9">
            <w:pPr>
              <w:pStyle w:val="cTableText"/>
            </w:pPr>
            <w:r w:rsidRPr="000F327C">
              <w:t>Not required.</w:t>
            </w:r>
          </w:p>
        </w:tc>
      </w:tr>
      <w:tr w:rsidR="006E1113" w:rsidRPr="000F327C" w14:paraId="0802EF8E" w14:textId="77777777" w:rsidTr="00CD26A9">
        <w:trPr>
          <w:gridAfter w:val="1"/>
          <w:wAfter w:w="45" w:type="dxa"/>
          <w:cantSplit/>
        </w:trPr>
        <w:tc>
          <w:tcPr>
            <w:tcW w:w="3622" w:type="dxa"/>
            <w:tcBorders>
              <w:top w:val="single" w:sz="6" w:space="0" w:color="000000"/>
              <w:left w:val="nil"/>
              <w:bottom w:val="nil"/>
              <w:right w:val="nil"/>
            </w:tcBorders>
            <w:hideMark/>
          </w:tcPr>
          <w:p w14:paraId="7504B2CA" w14:textId="77777777" w:rsidR="006E1113" w:rsidRPr="000F327C" w:rsidRDefault="006E1113" w:rsidP="00CD26A9">
            <w:pPr>
              <w:pStyle w:val="cTableText"/>
              <w:ind w:left="475" w:hanging="475"/>
            </w:pPr>
            <w:r w:rsidRPr="000F327C">
              <w:t>17.</w:t>
            </w:r>
            <w:r w:rsidRPr="000F327C">
              <w:tab/>
              <w:t>NAME OF REFERRING PROVIDER OR OTHER SOURCE</w:t>
            </w:r>
          </w:p>
        </w:tc>
        <w:tc>
          <w:tcPr>
            <w:tcW w:w="5232" w:type="dxa"/>
            <w:tcBorders>
              <w:top w:val="single" w:sz="6" w:space="0" w:color="000000"/>
              <w:left w:val="nil"/>
              <w:bottom w:val="nil"/>
              <w:right w:val="nil"/>
            </w:tcBorders>
            <w:hideMark/>
          </w:tcPr>
          <w:p w14:paraId="504BD3A3" w14:textId="77777777" w:rsidR="006E1113" w:rsidRPr="000F327C" w:rsidRDefault="006E1113" w:rsidP="00CD26A9">
            <w:pPr>
              <w:pStyle w:val="cTableText"/>
            </w:pPr>
            <w:r w:rsidRPr="000F327C">
              <w:t>Name and title of referral source, whether an individual (such as a PCP) or a clinic or other facility.</w:t>
            </w:r>
          </w:p>
        </w:tc>
      </w:tr>
      <w:tr w:rsidR="006E1113" w:rsidRPr="000F327C" w14:paraId="67B71600" w14:textId="77777777" w:rsidTr="00CD26A9">
        <w:trPr>
          <w:gridAfter w:val="1"/>
          <w:wAfter w:w="45" w:type="dxa"/>
          <w:cantSplit/>
        </w:trPr>
        <w:tc>
          <w:tcPr>
            <w:tcW w:w="3622" w:type="dxa"/>
            <w:tcBorders>
              <w:top w:val="nil"/>
              <w:left w:val="nil"/>
              <w:bottom w:val="nil"/>
              <w:right w:val="nil"/>
            </w:tcBorders>
            <w:hideMark/>
          </w:tcPr>
          <w:p w14:paraId="73ACDE2B" w14:textId="77777777" w:rsidR="006E1113" w:rsidRPr="000F327C" w:rsidRDefault="006E1113" w:rsidP="006E1113">
            <w:pPr>
              <w:pStyle w:val="cTableText"/>
              <w:ind w:left="475" w:hanging="475"/>
            </w:pPr>
            <w:r w:rsidRPr="000F327C">
              <w:t>17a.</w:t>
            </w:r>
            <w:r w:rsidRPr="000F327C">
              <w:tab/>
              <w:t>(blank)</w:t>
            </w:r>
          </w:p>
        </w:tc>
        <w:tc>
          <w:tcPr>
            <w:tcW w:w="5232" w:type="dxa"/>
            <w:tcBorders>
              <w:top w:val="nil"/>
              <w:left w:val="nil"/>
              <w:bottom w:val="nil"/>
              <w:right w:val="nil"/>
            </w:tcBorders>
            <w:hideMark/>
          </w:tcPr>
          <w:p w14:paraId="49D411AE" w14:textId="77777777" w:rsidR="006E1113" w:rsidRPr="000F327C" w:rsidRDefault="006E1113" w:rsidP="006E1113">
            <w:pPr>
              <w:pStyle w:val="cTableText"/>
              <w:rPr>
                <w:rFonts w:cs="Arial"/>
                <w:szCs w:val="21"/>
              </w:rPr>
            </w:pPr>
            <w:r w:rsidRPr="000F327C">
              <w:rPr>
                <w:rFonts w:cs="Arial"/>
                <w:szCs w:val="21"/>
              </w:rPr>
              <w:t xml:space="preserve">Not required. </w:t>
            </w:r>
          </w:p>
        </w:tc>
      </w:tr>
      <w:tr w:rsidR="006E1113" w:rsidRPr="000F327C" w14:paraId="4BB8FAFB" w14:textId="77777777" w:rsidTr="00CD26A9">
        <w:trPr>
          <w:gridAfter w:val="1"/>
          <w:wAfter w:w="45" w:type="dxa"/>
          <w:cantSplit/>
        </w:trPr>
        <w:tc>
          <w:tcPr>
            <w:tcW w:w="3622" w:type="dxa"/>
            <w:tcBorders>
              <w:top w:val="nil"/>
              <w:left w:val="nil"/>
              <w:bottom w:val="single" w:sz="4" w:space="0" w:color="auto"/>
              <w:right w:val="nil"/>
            </w:tcBorders>
            <w:hideMark/>
          </w:tcPr>
          <w:p w14:paraId="75D3FD60" w14:textId="77777777" w:rsidR="006E1113" w:rsidRPr="000F327C" w:rsidRDefault="006E1113" w:rsidP="006E1113">
            <w:pPr>
              <w:pStyle w:val="cTableText"/>
              <w:ind w:left="475" w:hanging="475"/>
            </w:pPr>
            <w:r w:rsidRPr="000F327C">
              <w:t>17b.</w:t>
            </w:r>
            <w:r w:rsidRPr="000F327C">
              <w:tab/>
              <w:t>NPI</w:t>
            </w:r>
          </w:p>
        </w:tc>
        <w:tc>
          <w:tcPr>
            <w:tcW w:w="5232" w:type="dxa"/>
            <w:tcBorders>
              <w:top w:val="nil"/>
              <w:left w:val="nil"/>
              <w:bottom w:val="single" w:sz="4" w:space="0" w:color="auto"/>
              <w:right w:val="nil"/>
            </w:tcBorders>
            <w:hideMark/>
          </w:tcPr>
          <w:p w14:paraId="60AC43FC" w14:textId="77777777" w:rsidR="006E1113" w:rsidRPr="000F327C" w:rsidRDefault="006E1113" w:rsidP="006E1113">
            <w:pPr>
              <w:pStyle w:val="cTableText"/>
              <w:rPr>
                <w:rFonts w:cs="Arial"/>
                <w:szCs w:val="21"/>
              </w:rPr>
            </w:pPr>
            <w:r w:rsidRPr="000F327C">
              <w:rPr>
                <w:rFonts w:cs="Arial"/>
                <w:szCs w:val="21"/>
              </w:rPr>
              <w:t>Enter NPI of the referring physician.</w:t>
            </w:r>
          </w:p>
        </w:tc>
      </w:tr>
      <w:tr w:rsidR="006E1113" w:rsidRPr="000F327C" w14:paraId="038BEB62" w14:textId="77777777" w:rsidTr="00CD26A9">
        <w:trPr>
          <w:gridAfter w:val="1"/>
          <w:wAfter w:w="45" w:type="dxa"/>
          <w:cantSplit/>
        </w:trPr>
        <w:tc>
          <w:tcPr>
            <w:tcW w:w="3622" w:type="dxa"/>
            <w:tcBorders>
              <w:top w:val="single" w:sz="4" w:space="0" w:color="auto"/>
              <w:left w:val="nil"/>
              <w:bottom w:val="single" w:sz="6" w:space="0" w:color="000000"/>
              <w:right w:val="nil"/>
            </w:tcBorders>
            <w:hideMark/>
          </w:tcPr>
          <w:p w14:paraId="12814042" w14:textId="77777777" w:rsidR="006E1113" w:rsidRPr="000F327C" w:rsidRDefault="006E1113" w:rsidP="00CD26A9">
            <w:pPr>
              <w:pStyle w:val="cTableText"/>
              <w:ind w:left="475" w:hanging="475"/>
            </w:pPr>
            <w:r w:rsidRPr="000F327C">
              <w:t>18.</w:t>
            </w:r>
            <w:r w:rsidRPr="000F327C">
              <w:tab/>
              <w:t>HOSPITALIZATION DATES RELATED TO CURRENT SERVICES</w:t>
            </w:r>
          </w:p>
        </w:tc>
        <w:tc>
          <w:tcPr>
            <w:tcW w:w="5232" w:type="dxa"/>
            <w:tcBorders>
              <w:top w:val="single" w:sz="4" w:space="0" w:color="auto"/>
              <w:left w:val="nil"/>
              <w:bottom w:val="single" w:sz="6" w:space="0" w:color="000000"/>
              <w:right w:val="nil"/>
            </w:tcBorders>
            <w:hideMark/>
          </w:tcPr>
          <w:p w14:paraId="038AEBFD" w14:textId="77777777" w:rsidR="006E1113" w:rsidRPr="000F327C" w:rsidRDefault="006E1113" w:rsidP="00CD26A9">
            <w:pPr>
              <w:pStyle w:val="cTableText"/>
            </w:pPr>
            <w:r w:rsidRPr="000F327C">
              <w:t>When the serving/billing provider’s services charged on this claim are related to a beneficiary’s or participant’s inpatient hospitalization, enter the individual’s admission and discharge dates.  Format: MM/DD/YY.</w:t>
            </w:r>
          </w:p>
        </w:tc>
      </w:tr>
      <w:tr w:rsidR="006E1113" w:rsidRPr="000F327C" w14:paraId="02046383" w14:textId="77777777" w:rsidTr="00CD26A9">
        <w:trPr>
          <w:cantSplit/>
        </w:trPr>
        <w:tc>
          <w:tcPr>
            <w:tcW w:w="3622" w:type="dxa"/>
            <w:tcBorders>
              <w:top w:val="single" w:sz="6" w:space="0" w:color="000000"/>
              <w:left w:val="nil"/>
              <w:bottom w:val="nil"/>
              <w:right w:val="nil"/>
            </w:tcBorders>
            <w:hideMark/>
          </w:tcPr>
          <w:p w14:paraId="29D1B0FF" w14:textId="77777777" w:rsidR="006E1113" w:rsidRPr="000F327C" w:rsidRDefault="006E1113" w:rsidP="00CD26A9">
            <w:pPr>
              <w:pStyle w:val="cTableText"/>
              <w:ind w:left="515" w:hanging="515"/>
            </w:pPr>
            <w:r w:rsidRPr="000F327C">
              <w:t>19.</w:t>
            </w:r>
            <w:r w:rsidRPr="000F327C">
              <w:tab/>
              <w:t>ADDITIONAL CLAIM INFORMATION</w:t>
            </w:r>
          </w:p>
        </w:tc>
        <w:tc>
          <w:tcPr>
            <w:tcW w:w="5277" w:type="dxa"/>
            <w:gridSpan w:val="2"/>
            <w:tcBorders>
              <w:top w:val="single" w:sz="6" w:space="0" w:color="000000"/>
              <w:left w:val="nil"/>
              <w:bottom w:val="nil"/>
              <w:right w:val="nil"/>
            </w:tcBorders>
            <w:hideMark/>
          </w:tcPr>
          <w:p w14:paraId="6C7FE86C" w14:textId="77777777" w:rsidR="006E1113" w:rsidRPr="000F327C" w:rsidRDefault="006E1113" w:rsidP="00CD26A9">
            <w:pPr>
              <w:pStyle w:val="cTableText"/>
            </w:pPr>
            <w:r w:rsidRPr="000F327C">
              <w:t xml:space="preserve">Identifies additional information about the beneficiary’s condition or the claim. Enter the appropriate qualifiers describing the identifier. See </w:t>
            </w:r>
            <w:hyperlink r:id="rId27" w:history="1">
              <w:r w:rsidRPr="000F327C">
                <w:rPr>
                  <w:rStyle w:val="Hyperlink"/>
                </w:rPr>
                <w:t>www.nucc.org</w:t>
              </w:r>
            </w:hyperlink>
            <w:r w:rsidRPr="000F327C">
              <w:t xml:space="preserve"> for qualifiers.</w:t>
            </w:r>
          </w:p>
        </w:tc>
      </w:tr>
      <w:tr w:rsidR="006E1113" w:rsidRPr="000F327C" w14:paraId="0FDE3BD3" w14:textId="77777777" w:rsidTr="00CD26A9">
        <w:trPr>
          <w:gridAfter w:val="1"/>
          <w:wAfter w:w="45" w:type="dxa"/>
          <w:cantSplit/>
        </w:trPr>
        <w:tc>
          <w:tcPr>
            <w:tcW w:w="3622" w:type="dxa"/>
            <w:tcBorders>
              <w:top w:val="single" w:sz="6" w:space="0" w:color="000000"/>
              <w:left w:val="nil"/>
              <w:bottom w:val="nil"/>
              <w:right w:val="nil"/>
            </w:tcBorders>
            <w:hideMark/>
          </w:tcPr>
          <w:p w14:paraId="7D6A37D5" w14:textId="77777777" w:rsidR="006E1113" w:rsidRPr="000F327C" w:rsidRDefault="006E1113" w:rsidP="00CD26A9">
            <w:pPr>
              <w:pStyle w:val="cTableText"/>
              <w:ind w:left="475" w:hanging="475"/>
            </w:pPr>
            <w:r w:rsidRPr="000F327C">
              <w:t>20.</w:t>
            </w:r>
            <w:r w:rsidRPr="000F327C">
              <w:tab/>
              <w:t>OUTSIDE LAB?</w:t>
            </w:r>
          </w:p>
        </w:tc>
        <w:tc>
          <w:tcPr>
            <w:tcW w:w="5232" w:type="dxa"/>
            <w:tcBorders>
              <w:top w:val="single" w:sz="6" w:space="0" w:color="000000"/>
              <w:left w:val="nil"/>
              <w:bottom w:val="nil"/>
              <w:right w:val="nil"/>
            </w:tcBorders>
            <w:hideMark/>
          </w:tcPr>
          <w:p w14:paraId="6EECDCC4" w14:textId="77777777" w:rsidR="006E1113" w:rsidRPr="000F327C" w:rsidRDefault="006E1113" w:rsidP="00CD26A9">
            <w:pPr>
              <w:pStyle w:val="cTableText"/>
            </w:pPr>
            <w:r w:rsidRPr="000F327C">
              <w:t>Not required.</w:t>
            </w:r>
          </w:p>
        </w:tc>
      </w:tr>
      <w:tr w:rsidR="006E1113" w:rsidRPr="000F327C" w14:paraId="176B3459" w14:textId="77777777" w:rsidTr="00CD26A9">
        <w:trPr>
          <w:gridAfter w:val="1"/>
          <w:wAfter w:w="45" w:type="dxa"/>
          <w:cantSplit/>
        </w:trPr>
        <w:tc>
          <w:tcPr>
            <w:tcW w:w="3622" w:type="dxa"/>
            <w:tcBorders>
              <w:top w:val="nil"/>
              <w:left w:val="nil"/>
              <w:bottom w:val="single" w:sz="4" w:space="0" w:color="auto"/>
              <w:right w:val="nil"/>
            </w:tcBorders>
            <w:hideMark/>
          </w:tcPr>
          <w:p w14:paraId="5BA9C16D" w14:textId="77777777" w:rsidR="006E1113" w:rsidRPr="000F327C" w:rsidRDefault="006E1113" w:rsidP="00CD26A9">
            <w:pPr>
              <w:pStyle w:val="cnumbered"/>
              <w:ind w:left="475" w:hanging="475"/>
            </w:pPr>
            <w:r w:rsidRPr="000F327C">
              <w:tab/>
              <w:t>$ CHARGES</w:t>
            </w:r>
          </w:p>
        </w:tc>
        <w:tc>
          <w:tcPr>
            <w:tcW w:w="5232" w:type="dxa"/>
            <w:tcBorders>
              <w:top w:val="nil"/>
              <w:left w:val="nil"/>
              <w:bottom w:val="single" w:sz="4" w:space="0" w:color="auto"/>
              <w:right w:val="nil"/>
            </w:tcBorders>
            <w:hideMark/>
          </w:tcPr>
          <w:p w14:paraId="1A6E6025" w14:textId="77777777" w:rsidR="006E1113" w:rsidRPr="000F327C" w:rsidRDefault="006E1113" w:rsidP="00CD26A9">
            <w:pPr>
              <w:pStyle w:val="cTableText"/>
            </w:pPr>
            <w:r w:rsidRPr="000F327C">
              <w:t>Not required.</w:t>
            </w:r>
          </w:p>
        </w:tc>
      </w:tr>
      <w:tr w:rsidR="006E1113" w:rsidRPr="000F327C" w14:paraId="48476BB1" w14:textId="77777777" w:rsidTr="00CD26A9">
        <w:trPr>
          <w:gridAfter w:val="1"/>
          <w:wAfter w:w="45" w:type="dxa"/>
          <w:cantSplit/>
        </w:trPr>
        <w:tc>
          <w:tcPr>
            <w:tcW w:w="3622" w:type="dxa"/>
            <w:tcBorders>
              <w:top w:val="single" w:sz="4" w:space="0" w:color="auto"/>
              <w:left w:val="nil"/>
              <w:bottom w:val="single" w:sz="6" w:space="0" w:color="000000"/>
              <w:right w:val="nil"/>
            </w:tcBorders>
            <w:hideMark/>
          </w:tcPr>
          <w:p w14:paraId="06C40A0F" w14:textId="77777777" w:rsidR="006E1113" w:rsidRPr="000F327C" w:rsidRDefault="006E1113" w:rsidP="00CD26A9">
            <w:pPr>
              <w:pStyle w:val="cnumbered"/>
              <w:ind w:left="475" w:hanging="475"/>
            </w:pPr>
            <w:r w:rsidRPr="000F327C">
              <w:lastRenderedPageBreak/>
              <w:t>21.</w:t>
            </w:r>
            <w:r w:rsidRPr="000F327C">
              <w:tab/>
              <w:t>DIAGNOSIS OR NATURE OF ILLNESS OR INJURY</w:t>
            </w:r>
          </w:p>
        </w:tc>
        <w:tc>
          <w:tcPr>
            <w:tcW w:w="5232" w:type="dxa"/>
            <w:tcBorders>
              <w:top w:val="single" w:sz="4" w:space="0" w:color="auto"/>
              <w:left w:val="nil"/>
              <w:bottom w:val="single" w:sz="6" w:space="0" w:color="000000"/>
              <w:right w:val="nil"/>
            </w:tcBorders>
            <w:hideMark/>
          </w:tcPr>
          <w:p w14:paraId="29C29F1E" w14:textId="77777777" w:rsidR="006E1113" w:rsidRPr="000F327C" w:rsidRDefault="006E1113" w:rsidP="00CD26A9">
            <w:pPr>
              <w:pStyle w:val="cTableText"/>
            </w:pPr>
            <w:r w:rsidRPr="000F327C">
              <w:t xml:space="preserve">Enter the applicable ICD indicator to identify which version of ICD codes is being reported. </w:t>
            </w:r>
          </w:p>
          <w:p w14:paraId="2A5F082F" w14:textId="77777777" w:rsidR="006E1113" w:rsidRPr="000F327C" w:rsidRDefault="006E1113" w:rsidP="00CD26A9">
            <w:pPr>
              <w:pStyle w:val="cTableText"/>
            </w:pPr>
            <w:r w:rsidRPr="000F327C">
              <w:t>Use “9” for ICD-9-CM.</w:t>
            </w:r>
          </w:p>
          <w:p w14:paraId="1AC9B517" w14:textId="77777777" w:rsidR="006E1113" w:rsidRPr="000F327C" w:rsidRDefault="006E1113" w:rsidP="00CD26A9">
            <w:pPr>
              <w:pStyle w:val="cTableText"/>
            </w:pPr>
            <w:r w:rsidRPr="000F327C">
              <w:t>Use “0” for ICD-10-CM.</w:t>
            </w:r>
          </w:p>
          <w:p w14:paraId="4734E7CE" w14:textId="77777777" w:rsidR="006E1113" w:rsidRPr="000F327C" w:rsidRDefault="006E1113" w:rsidP="00CD26A9">
            <w:pPr>
              <w:pStyle w:val="cTableText"/>
            </w:pPr>
            <w:r w:rsidRPr="000F327C">
              <w:t xml:space="preserve">Enter the indicator between the vertical, dotted lines in the upper right-hand portion of the field. </w:t>
            </w:r>
          </w:p>
          <w:p w14:paraId="53ADA95E" w14:textId="77777777" w:rsidR="006E1113" w:rsidRPr="000F327C" w:rsidRDefault="006E1113" w:rsidP="00CD26A9">
            <w:pPr>
              <w:pStyle w:val="cTableText"/>
            </w:pPr>
            <w:r w:rsidRPr="000F327C">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6E1113" w:rsidRPr="000F327C" w14:paraId="49D179FB" w14:textId="77777777" w:rsidTr="00CD26A9">
        <w:trPr>
          <w:gridAfter w:val="1"/>
          <w:wAfter w:w="45" w:type="dxa"/>
          <w:cantSplit/>
        </w:trPr>
        <w:tc>
          <w:tcPr>
            <w:tcW w:w="3622" w:type="dxa"/>
            <w:tcBorders>
              <w:top w:val="single" w:sz="6" w:space="0" w:color="000000"/>
              <w:left w:val="nil"/>
              <w:bottom w:val="nil"/>
              <w:right w:val="nil"/>
            </w:tcBorders>
            <w:hideMark/>
          </w:tcPr>
          <w:p w14:paraId="76FB3865" w14:textId="77777777" w:rsidR="006E1113" w:rsidRPr="000F327C" w:rsidRDefault="006E1113" w:rsidP="00CD26A9">
            <w:pPr>
              <w:pStyle w:val="cTableText"/>
              <w:ind w:left="475" w:hanging="475"/>
            </w:pPr>
            <w:r w:rsidRPr="000F327C">
              <w:t>22.</w:t>
            </w:r>
            <w:r w:rsidRPr="000F327C">
              <w:tab/>
              <w:t>RESUBMISSION CODE</w:t>
            </w:r>
          </w:p>
        </w:tc>
        <w:tc>
          <w:tcPr>
            <w:tcW w:w="5232" w:type="dxa"/>
            <w:tcBorders>
              <w:top w:val="single" w:sz="6" w:space="0" w:color="000000"/>
              <w:left w:val="nil"/>
              <w:bottom w:val="nil"/>
              <w:right w:val="nil"/>
            </w:tcBorders>
            <w:hideMark/>
          </w:tcPr>
          <w:p w14:paraId="1EAF6564" w14:textId="77777777" w:rsidR="006E1113" w:rsidRPr="000F327C" w:rsidRDefault="006E1113" w:rsidP="00CD26A9">
            <w:pPr>
              <w:pStyle w:val="cTableText"/>
            </w:pPr>
            <w:r w:rsidRPr="000F327C">
              <w:t>Reserved for future use.</w:t>
            </w:r>
          </w:p>
        </w:tc>
      </w:tr>
      <w:tr w:rsidR="006E1113" w:rsidRPr="000F327C" w14:paraId="20D853C1" w14:textId="77777777" w:rsidTr="00CD26A9">
        <w:trPr>
          <w:gridAfter w:val="1"/>
          <w:wAfter w:w="45" w:type="dxa"/>
          <w:cantSplit/>
        </w:trPr>
        <w:tc>
          <w:tcPr>
            <w:tcW w:w="3622" w:type="dxa"/>
            <w:tcBorders>
              <w:top w:val="nil"/>
              <w:left w:val="nil"/>
              <w:bottom w:val="single" w:sz="6" w:space="0" w:color="000000"/>
              <w:right w:val="nil"/>
            </w:tcBorders>
            <w:hideMark/>
          </w:tcPr>
          <w:p w14:paraId="0441650F" w14:textId="77777777" w:rsidR="006E1113" w:rsidRPr="000F327C" w:rsidRDefault="006E1113" w:rsidP="00CD26A9">
            <w:pPr>
              <w:pStyle w:val="cTableText"/>
              <w:ind w:left="475" w:hanging="475"/>
            </w:pPr>
            <w:r w:rsidRPr="000F327C">
              <w:tab/>
              <w:t>ORIGINAL REF. NO.</w:t>
            </w:r>
          </w:p>
        </w:tc>
        <w:tc>
          <w:tcPr>
            <w:tcW w:w="5232" w:type="dxa"/>
            <w:tcBorders>
              <w:top w:val="nil"/>
              <w:left w:val="nil"/>
              <w:bottom w:val="single" w:sz="6" w:space="0" w:color="000000"/>
              <w:right w:val="nil"/>
            </w:tcBorders>
            <w:hideMark/>
          </w:tcPr>
          <w:p w14:paraId="5BCE9FE1" w14:textId="77777777" w:rsidR="006E1113" w:rsidRPr="000F327C" w:rsidRDefault="006E1113" w:rsidP="00CD26A9">
            <w:pPr>
              <w:pStyle w:val="cTableText"/>
            </w:pPr>
            <w:r w:rsidRPr="000F327C">
              <w:t xml:space="preserve">Any data or other information listed in this field does not/will not adjust, </w:t>
            </w:r>
            <w:proofErr w:type="gramStart"/>
            <w:r w:rsidRPr="000F327C">
              <w:t>void</w:t>
            </w:r>
            <w:proofErr w:type="gramEnd"/>
            <w:r w:rsidRPr="000F327C">
              <w:t xml:space="preserve"> or otherwise modify any previous payment or denial of a claim. Claim payment adjustments, voids, and refunds must follow previously established processes in policy.</w:t>
            </w:r>
          </w:p>
        </w:tc>
      </w:tr>
      <w:tr w:rsidR="006E1113" w:rsidRPr="000F327C" w14:paraId="7E2F1042"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2611E4DD" w14:textId="77777777" w:rsidR="006E1113" w:rsidRPr="000F327C" w:rsidRDefault="006E1113" w:rsidP="00CD26A9">
            <w:pPr>
              <w:pStyle w:val="cTableText"/>
              <w:ind w:left="475" w:hanging="475"/>
            </w:pPr>
            <w:r w:rsidRPr="000F327C">
              <w:t>23.</w:t>
            </w:r>
            <w:r w:rsidRPr="000F327C">
              <w:tab/>
              <w:t>PRIOR AUTHORIZATION NUMBER</w:t>
            </w:r>
          </w:p>
        </w:tc>
        <w:tc>
          <w:tcPr>
            <w:tcW w:w="5232" w:type="dxa"/>
            <w:tcBorders>
              <w:top w:val="single" w:sz="6" w:space="0" w:color="000000"/>
              <w:left w:val="nil"/>
              <w:bottom w:val="single" w:sz="6" w:space="0" w:color="000000"/>
              <w:right w:val="nil"/>
            </w:tcBorders>
            <w:hideMark/>
          </w:tcPr>
          <w:p w14:paraId="1785AC48" w14:textId="77777777" w:rsidR="006E1113" w:rsidRPr="000F327C" w:rsidRDefault="006E1113" w:rsidP="00CD26A9">
            <w:pPr>
              <w:pStyle w:val="cTableText"/>
            </w:pPr>
            <w:r w:rsidRPr="000F327C">
              <w:t>The prior authorization or benefit extension control number if applicable.</w:t>
            </w:r>
          </w:p>
        </w:tc>
      </w:tr>
      <w:tr w:rsidR="006E1113" w:rsidRPr="000F327C" w14:paraId="53315F9E" w14:textId="77777777" w:rsidTr="00CD26A9">
        <w:trPr>
          <w:gridAfter w:val="1"/>
          <w:wAfter w:w="45" w:type="dxa"/>
          <w:cantSplit/>
        </w:trPr>
        <w:tc>
          <w:tcPr>
            <w:tcW w:w="3622" w:type="dxa"/>
            <w:tcBorders>
              <w:top w:val="single" w:sz="6" w:space="0" w:color="000000"/>
              <w:left w:val="nil"/>
              <w:bottom w:val="nil"/>
              <w:right w:val="nil"/>
            </w:tcBorders>
            <w:hideMark/>
          </w:tcPr>
          <w:p w14:paraId="6E8FA677" w14:textId="77777777" w:rsidR="006E1113" w:rsidRPr="000F327C" w:rsidRDefault="006E1113" w:rsidP="00CD26A9">
            <w:pPr>
              <w:pStyle w:val="cTableText"/>
              <w:ind w:left="965" w:hanging="990"/>
            </w:pPr>
            <w:r w:rsidRPr="000F327C">
              <w:t>24A.</w:t>
            </w:r>
            <w:r w:rsidRPr="000F327C">
              <w:tab/>
              <w:t>DATE(S) OF SERVICE</w:t>
            </w:r>
          </w:p>
        </w:tc>
        <w:tc>
          <w:tcPr>
            <w:tcW w:w="5232" w:type="dxa"/>
            <w:tcBorders>
              <w:top w:val="single" w:sz="6" w:space="0" w:color="000000"/>
              <w:left w:val="nil"/>
              <w:bottom w:val="nil"/>
              <w:right w:val="nil"/>
            </w:tcBorders>
            <w:hideMark/>
          </w:tcPr>
          <w:p w14:paraId="17F2120D" w14:textId="77777777" w:rsidR="006E1113" w:rsidRPr="000F327C" w:rsidRDefault="006E1113" w:rsidP="00CD26A9">
            <w:pPr>
              <w:pStyle w:val="cTableText"/>
            </w:pPr>
            <w:r w:rsidRPr="000F327C">
              <w:t>The “from” and “to” dates of service for each billed service.  Format: MM/DD/YY.</w:t>
            </w:r>
          </w:p>
          <w:p w14:paraId="3CAB4913" w14:textId="77777777" w:rsidR="006E1113" w:rsidRPr="000F327C" w:rsidRDefault="006E1113" w:rsidP="00CD26A9">
            <w:pPr>
              <w:pStyle w:val="cTableText"/>
              <w:ind w:left="342" w:hanging="342"/>
            </w:pPr>
            <w:r w:rsidRPr="000F327C">
              <w:t>1.</w:t>
            </w:r>
            <w:r w:rsidRPr="000F327C">
              <w:tab/>
              <w:t>On a single claim detail (one charge on one line), bill only for services provided within a single calendar month.</w:t>
            </w:r>
          </w:p>
          <w:p w14:paraId="121F3B44" w14:textId="77777777" w:rsidR="006E1113" w:rsidRPr="000F327C" w:rsidRDefault="006E1113" w:rsidP="00CD26A9">
            <w:pPr>
              <w:pStyle w:val="cTableText"/>
              <w:ind w:left="342" w:hanging="342"/>
            </w:pPr>
            <w:r w:rsidRPr="000F327C">
              <w:t>2.</w:t>
            </w:r>
            <w:r w:rsidRPr="000F327C">
              <w:tab/>
              <w:t>Some providers may bill on the same claim detail for two or more sequential dates of service within the same calendar month when the provider furnished equal amounts of the service on each day of the date sequence.</w:t>
            </w:r>
          </w:p>
        </w:tc>
      </w:tr>
      <w:tr w:rsidR="006E1113" w:rsidRPr="000F327C" w14:paraId="5985CD28" w14:textId="77777777" w:rsidTr="00CD26A9">
        <w:trPr>
          <w:gridAfter w:val="1"/>
          <w:wAfter w:w="45" w:type="dxa"/>
          <w:cantSplit/>
        </w:trPr>
        <w:tc>
          <w:tcPr>
            <w:tcW w:w="3622" w:type="dxa"/>
            <w:tcBorders>
              <w:top w:val="nil"/>
              <w:left w:val="nil"/>
              <w:bottom w:val="nil"/>
              <w:right w:val="nil"/>
            </w:tcBorders>
            <w:hideMark/>
          </w:tcPr>
          <w:p w14:paraId="282E07EB" w14:textId="77777777" w:rsidR="006E1113" w:rsidRPr="000F327C" w:rsidRDefault="006E1113" w:rsidP="00CD26A9">
            <w:pPr>
              <w:pStyle w:val="cTableText"/>
              <w:ind w:left="965" w:hanging="475"/>
            </w:pPr>
            <w:smartTag w:uri="urn:schemas:contacts" w:element="nameSuffix">
              <w:smartTag w:uri="urn:schemas-microsoft-com:office:smarttags" w:element="Street">
                <w:r w:rsidRPr="000F327C">
                  <w:t>B.</w:t>
                </w:r>
                <w:r w:rsidRPr="000F327C">
                  <w:tab/>
                  <w:t>PLACE</w:t>
                </w:r>
              </w:smartTag>
            </w:smartTag>
            <w:r w:rsidRPr="000F327C">
              <w:t xml:space="preserve"> OF SERVICE</w:t>
            </w:r>
          </w:p>
        </w:tc>
        <w:tc>
          <w:tcPr>
            <w:tcW w:w="5232" w:type="dxa"/>
            <w:tcBorders>
              <w:top w:val="nil"/>
              <w:left w:val="nil"/>
              <w:bottom w:val="nil"/>
              <w:right w:val="nil"/>
            </w:tcBorders>
            <w:hideMark/>
          </w:tcPr>
          <w:p w14:paraId="08F27BD8" w14:textId="77777777" w:rsidR="006E1113" w:rsidRPr="000F327C" w:rsidRDefault="006E1113" w:rsidP="00CD26A9">
            <w:pPr>
              <w:pStyle w:val="cTableText"/>
            </w:pPr>
            <w:r w:rsidRPr="000F327C">
              <w:t>Two-digit national standard place of service code.</w:t>
            </w:r>
          </w:p>
        </w:tc>
      </w:tr>
      <w:tr w:rsidR="006E1113" w:rsidRPr="000F327C" w14:paraId="0D942162" w14:textId="77777777" w:rsidTr="00CD26A9">
        <w:trPr>
          <w:gridAfter w:val="1"/>
          <w:wAfter w:w="45" w:type="dxa"/>
          <w:cantSplit/>
        </w:trPr>
        <w:tc>
          <w:tcPr>
            <w:tcW w:w="3622" w:type="dxa"/>
            <w:tcBorders>
              <w:top w:val="nil"/>
              <w:left w:val="nil"/>
              <w:bottom w:val="nil"/>
              <w:right w:val="nil"/>
            </w:tcBorders>
            <w:hideMark/>
          </w:tcPr>
          <w:p w14:paraId="7D1C6081" w14:textId="77777777" w:rsidR="006E1113" w:rsidRPr="000F327C" w:rsidRDefault="006E1113" w:rsidP="00CD26A9">
            <w:pPr>
              <w:pStyle w:val="cTableText"/>
              <w:ind w:left="965" w:hanging="475"/>
            </w:pPr>
            <w:r w:rsidRPr="000F327C">
              <w:t>C.</w:t>
            </w:r>
            <w:r w:rsidRPr="000F327C">
              <w:tab/>
              <w:t xml:space="preserve">EMG </w:t>
            </w:r>
          </w:p>
        </w:tc>
        <w:tc>
          <w:tcPr>
            <w:tcW w:w="5232" w:type="dxa"/>
            <w:tcBorders>
              <w:top w:val="nil"/>
              <w:left w:val="nil"/>
              <w:bottom w:val="nil"/>
              <w:right w:val="nil"/>
            </w:tcBorders>
            <w:hideMark/>
          </w:tcPr>
          <w:p w14:paraId="44AF210F" w14:textId="77777777" w:rsidR="006E1113" w:rsidRPr="000F327C" w:rsidRDefault="006E1113" w:rsidP="00CD26A9">
            <w:pPr>
              <w:pStyle w:val="cTableText"/>
            </w:pPr>
            <w:r w:rsidRPr="000F327C">
              <w:t>Enter “Y” for “Yes” or leave blank if “No.” EMG identifies if the services was an emergency.</w:t>
            </w:r>
          </w:p>
        </w:tc>
      </w:tr>
      <w:tr w:rsidR="006E1113" w:rsidRPr="000F327C" w14:paraId="0A97D90F" w14:textId="77777777" w:rsidTr="00CD26A9">
        <w:trPr>
          <w:gridAfter w:val="1"/>
          <w:wAfter w:w="45" w:type="dxa"/>
          <w:cantSplit/>
        </w:trPr>
        <w:tc>
          <w:tcPr>
            <w:tcW w:w="3622" w:type="dxa"/>
            <w:tcBorders>
              <w:top w:val="nil"/>
              <w:left w:val="nil"/>
              <w:bottom w:val="nil"/>
              <w:right w:val="nil"/>
            </w:tcBorders>
            <w:hideMark/>
          </w:tcPr>
          <w:p w14:paraId="06D1536B" w14:textId="77777777" w:rsidR="006E1113" w:rsidRPr="000F327C" w:rsidRDefault="006E1113" w:rsidP="00CD26A9">
            <w:pPr>
              <w:pStyle w:val="cTableText"/>
              <w:ind w:left="965" w:hanging="475"/>
            </w:pPr>
            <w:r w:rsidRPr="000F327C">
              <w:t>D.</w:t>
            </w:r>
            <w:r w:rsidRPr="000F327C">
              <w:tab/>
              <w:t>PROCEDURES, SERVICES, OR SUPPLIES</w:t>
            </w:r>
          </w:p>
        </w:tc>
        <w:tc>
          <w:tcPr>
            <w:tcW w:w="5232" w:type="dxa"/>
            <w:tcBorders>
              <w:top w:val="nil"/>
              <w:left w:val="nil"/>
              <w:bottom w:val="nil"/>
              <w:right w:val="nil"/>
            </w:tcBorders>
          </w:tcPr>
          <w:p w14:paraId="2779E6CC" w14:textId="77777777" w:rsidR="006E1113" w:rsidRPr="000F327C" w:rsidRDefault="006E1113" w:rsidP="00CD26A9">
            <w:pPr>
              <w:pStyle w:val="cTableText"/>
            </w:pPr>
          </w:p>
        </w:tc>
      </w:tr>
      <w:tr w:rsidR="006E1113" w:rsidRPr="000F327C" w14:paraId="05D66C7C" w14:textId="77777777" w:rsidTr="00CD26A9">
        <w:trPr>
          <w:gridAfter w:val="1"/>
          <w:wAfter w:w="45" w:type="dxa"/>
          <w:cantSplit/>
        </w:trPr>
        <w:tc>
          <w:tcPr>
            <w:tcW w:w="3622" w:type="dxa"/>
            <w:tcBorders>
              <w:top w:val="nil"/>
              <w:left w:val="nil"/>
              <w:bottom w:val="nil"/>
              <w:right w:val="nil"/>
            </w:tcBorders>
            <w:hideMark/>
          </w:tcPr>
          <w:p w14:paraId="7E6EC9B8" w14:textId="77777777" w:rsidR="006E1113" w:rsidRPr="000F327C" w:rsidRDefault="006E1113" w:rsidP="00CD26A9">
            <w:pPr>
              <w:pStyle w:val="cTableText"/>
              <w:ind w:left="965" w:hanging="475"/>
              <w:rPr>
                <w:noProof/>
              </w:rPr>
            </w:pPr>
            <w:r w:rsidRPr="000F327C">
              <w:rPr>
                <w:noProof/>
              </w:rPr>
              <w:tab/>
              <w:t>CPT/HCPCS</w:t>
            </w:r>
          </w:p>
        </w:tc>
        <w:tc>
          <w:tcPr>
            <w:tcW w:w="5232" w:type="dxa"/>
            <w:tcBorders>
              <w:top w:val="nil"/>
              <w:left w:val="nil"/>
              <w:bottom w:val="nil"/>
              <w:right w:val="nil"/>
            </w:tcBorders>
            <w:hideMark/>
          </w:tcPr>
          <w:p w14:paraId="7B3D9DAA" w14:textId="77777777" w:rsidR="006E1113" w:rsidRPr="000F327C" w:rsidRDefault="006E1113" w:rsidP="00CD26A9">
            <w:pPr>
              <w:pStyle w:val="cTableText"/>
            </w:pPr>
            <w:r w:rsidRPr="000F327C">
              <w:t>One CPT or HCPCS procedure code for each detail.</w:t>
            </w:r>
          </w:p>
        </w:tc>
      </w:tr>
      <w:tr w:rsidR="006E1113" w:rsidRPr="000F327C" w14:paraId="13486778" w14:textId="77777777" w:rsidTr="00CD26A9">
        <w:trPr>
          <w:gridAfter w:val="1"/>
          <w:wAfter w:w="45" w:type="dxa"/>
          <w:cantSplit/>
        </w:trPr>
        <w:tc>
          <w:tcPr>
            <w:tcW w:w="3622" w:type="dxa"/>
            <w:tcBorders>
              <w:top w:val="nil"/>
              <w:left w:val="nil"/>
              <w:bottom w:val="nil"/>
              <w:right w:val="nil"/>
            </w:tcBorders>
            <w:hideMark/>
          </w:tcPr>
          <w:p w14:paraId="0E0C8FEA" w14:textId="77777777" w:rsidR="006E1113" w:rsidRPr="000F327C" w:rsidRDefault="006E1113" w:rsidP="00CD26A9">
            <w:pPr>
              <w:pStyle w:val="cTableText"/>
              <w:ind w:left="965" w:hanging="475"/>
              <w:rPr>
                <w:noProof/>
              </w:rPr>
            </w:pPr>
            <w:r w:rsidRPr="000F327C">
              <w:rPr>
                <w:noProof/>
              </w:rPr>
              <w:tab/>
              <w:t>MODIFIER</w:t>
            </w:r>
          </w:p>
        </w:tc>
        <w:tc>
          <w:tcPr>
            <w:tcW w:w="5232" w:type="dxa"/>
            <w:tcBorders>
              <w:top w:val="nil"/>
              <w:left w:val="nil"/>
              <w:bottom w:val="nil"/>
              <w:right w:val="nil"/>
            </w:tcBorders>
            <w:hideMark/>
          </w:tcPr>
          <w:p w14:paraId="12F9C6B2" w14:textId="77777777" w:rsidR="006E1113" w:rsidRPr="000F327C" w:rsidRDefault="006E1113" w:rsidP="00CD26A9">
            <w:pPr>
              <w:pStyle w:val="cTableText"/>
            </w:pPr>
            <w:r w:rsidRPr="000F327C">
              <w:t>Modifier(s) if applicable.</w:t>
            </w:r>
          </w:p>
        </w:tc>
      </w:tr>
      <w:tr w:rsidR="006E1113" w:rsidRPr="000F327C" w14:paraId="2610C6D7" w14:textId="77777777" w:rsidTr="00CD26A9">
        <w:trPr>
          <w:gridAfter w:val="1"/>
          <w:wAfter w:w="45" w:type="dxa"/>
          <w:cantSplit/>
        </w:trPr>
        <w:tc>
          <w:tcPr>
            <w:tcW w:w="3622" w:type="dxa"/>
            <w:tcBorders>
              <w:top w:val="nil"/>
              <w:left w:val="nil"/>
              <w:bottom w:val="nil"/>
              <w:right w:val="nil"/>
            </w:tcBorders>
            <w:hideMark/>
          </w:tcPr>
          <w:p w14:paraId="5BB62109" w14:textId="77777777" w:rsidR="006E1113" w:rsidRPr="000F327C" w:rsidRDefault="006E1113" w:rsidP="00CD26A9">
            <w:pPr>
              <w:pStyle w:val="cTableText"/>
              <w:ind w:left="965" w:hanging="475"/>
            </w:pPr>
            <w:r w:rsidRPr="000F327C">
              <w:lastRenderedPageBreak/>
              <w:t>E.</w:t>
            </w:r>
            <w:r w:rsidRPr="000F327C">
              <w:tab/>
              <w:t>DIAGNOSIS POINTER</w:t>
            </w:r>
          </w:p>
        </w:tc>
        <w:tc>
          <w:tcPr>
            <w:tcW w:w="5232" w:type="dxa"/>
            <w:tcBorders>
              <w:top w:val="nil"/>
              <w:left w:val="nil"/>
              <w:bottom w:val="nil"/>
              <w:right w:val="nil"/>
            </w:tcBorders>
            <w:hideMark/>
          </w:tcPr>
          <w:p w14:paraId="751E4A2E" w14:textId="77777777" w:rsidR="006E1113" w:rsidRPr="000F327C" w:rsidRDefault="006E1113" w:rsidP="00CD26A9">
            <w:pPr>
              <w:pStyle w:val="cTableText"/>
            </w:pPr>
            <w:r w:rsidRPr="000F327C">
              <w:t xml:space="preserve">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  </w:t>
            </w:r>
          </w:p>
        </w:tc>
      </w:tr>
      <w:tr w:rsidR="006E1113" w:rsidRPr="000F327C" w14:paraId="740671E5" w14:textId="77777777" w:rsidTr="00CD26A9">
        <w:trPr>
          <w:gridAfter w:val="1"/>
          <w:wAfter w:w="45" w:type="dxa"/>
          <w:cantSplit/>
        </w:trPr>
        <w:tc>
          <w:tcPr>
            <w:tcW w:w="3622" w:type="dxa"/>
            <w:tcBorders>
              <w:top w:val="nil"/>
              <w:left w:val="nil"/>
              <w:bottom w:val="nil"/>
              <w:right w:val="nil"/>
            </w:tcBorders>
            <w:hideMark/>
          </w:tcPr>
          <w:p w14:paraId="6CA8F0F5" w14:textId="77777777" w:rsidR="006E1113" w:rsidRPr="000F327C" w:rsidRDefault="006E1113" w:rsidP="00CD26A9">
            <w:pPr>
              <w:pStyle w:val="cTableText"/>
              <w:ind w:left="965" w:hanging="475"/>
            </w:pPr>
            <w:r w:rsidRPr="000F327C">
              <w:t>F.</w:t>
            </w:r>
            <w:r w:rsidRPr="000F327C">
              <w:tab/>
              <w:t>$ CHARGES</w:t>
            </w:r>
          </w:p>
        </w:tc>
        <w:tc>
          <w:tcPr>
            <w:tcW w:w="5232" w:type="dxa"/>
            <w:tcBorders>
              <w:top w:val="nil"/>
              <w:left w:val="nil"/>
              <w:bottom w:val="nil"/>
              <w:right w:val="nil"/>
            </w:tcBorders>
            <w:hideMark/>
          </w:tcPr>
          <w:p w14:paraId="2830D274" w14:textId="77777777" w:rsidR="006E1113" w:rsidRPr="000F327C" w:rsidRDefault="006E1113" w:rsidP="00CD26A9">
            <w:pPr>
              <w:pStyle w:val="cTableText"/>
            </w:pPr>
            <w:r w:rsidRPr="000F327C">
              <w:t xml:space="preserve">The full charge for the service(s) totaled in </w:t>
            </w:r>
            <w:proofErr w:type="gramStart"/>
            <w:r w:rsidRPr="000F327C">
              <w:t>the detail</w:t>
            </w:r>
            <w:proofErr w:type="gramEnd"/>
            <w:r w:rsidRPr="000F327C">
              <w:t>. This charge must be the usual charge to any client, patient, or other recipient of the provider’s services.</w:t>
            </w:r>
          </w:p>
        </w:tc>
      </w:tr>
      <w:tr w:rsidR="006E1113" w:rsidRPr="000F327C" w14:paraId="70FCBAE6" w14:textId="77777777" w:rsidTr="00CD26A9">
        <w:trPr>
          <w:gridAfter w:val="1"/>
          <w:wAfter w:w="45" w:type="dxa"/>
          <w:cantSplit/>
        </w:trPr>
        <w:tc>
          <w:tcPr>
            <w:tcW w:w="3622" w:type="dxa"/>
            <w:tcBorders>
              <w:top w:val="nil"/>
              <w:left w:val="nil"/>
              <w:bottom w:val="nil"/>
              <w:right w:val="nil"/>
            </w:tcBorders>
            <w:hideMark/>
          </w:tcPr>
          <w:p w14:paraId="364C6284" w14:textId="77777777" w:rsidR="006E1113" w:rsidRPr="000F327C" w:rsidRDefault="006E1113" w:rsidP="00CD26A9">
            <w:pPr>
              <w:pStyle w:val="cTableText"/>
              <w:ind w:left="965" w:hanging="475"/>
            </w:pPr>
            <w:r w:rsidRPr="000F327C">
              <w:t>G.</w:t>
            </w:r>
            <w:r w:rsidRPr="000F327C">
              <w:tab/>
              <w:t>DAYS OR UNITS</w:t>
            </w:r>
          </w:p>
        </w:tc>
        <w:tc>
          <w:tcPr>
            <w:tcW w:w="5232" w:type="dxa"/>
            <w:tcBorders>
              <w:top w:val="nil"/>
              <w:left w:val="nil"/>
              <w:bottom w:val="nil"/>
              <w:right w:val="nil"/>
            </w:tcBorders>
            <w:hideMark/>
          </w:tcPr>
          <w:p w14:paraId="2B6C3367" w14:textId="77777777" w:rsidR="006E1113" w:rsidRPr="000F327C" w:rsidRDefault="006E1113" w:rsidP="00CD26A9">
            <w:pPr>
              <w:pStyle w:val="cTableText"/>
            </w:pPr>
            <w:r w:rsidRPr="000F327C">
              <w:t>The units (in whole numbers) of service(s) provided during the period indicated in Field 24A of the detail.</w:t>
            </w:r>
          </w:p>
        </w:tc>
      </w:tr>
      <w:tr w:rsidR="006E1113" w:rsidRPr="000F327C" w14:paraId="204472F9" w14:textId="77777777" w:rsidTr="00CD26A9">
        <w:trPr>
          <w:gridAfter w:val="1"/>
          <w:wAfter w:w="45" w:type="dxa"/>
          <w:cantSplit/>
        </w:trPr>
        <w:tc>
          <w:tcPr>
            <w:tcW w:w="3622" w:type="dxa"/>
            <w:tcBorders>
              <w:top w:val="nil"/>
              <w:left w:val="nil"/>
              <w:bottom w:val="nil"/>
              <w:right w:val="nil"/>
            </w:tcBorders>
            <w:hideMark/>
          </w:tcPr>
          <w:p w14:paraId="2A9B0A82" w14:textId="77777777" w:rsidR="006E1113" w:rsidRPr="000F327C" w:rsidRDefault="006E1113" w:rsidP="00CD26A9">
            <w:pPr>
              <w:pStyle w:val="cTableText"/>
              <w:ind w:left="965" w:hanging="475"/>
            </w:pPr>
            <w:r w:rsidRPr="000F327C">
              <w:t>H.</w:t>
            </w:r>
            <w:r w:rsidRPr="000F327C">
              <w:tab/>
              <w:t>EPSDT/Family Plan</w:t>
            </w:r>
          </w:p>
        </w:tc>
        <w:tc>
          <w:tcPr>
            <w:tcW w:w="5232" w:type="dxa"/>
            <w:tcBorders>
              <w:top w:val="nil"/>
              <w:left w:val="nil"/>
              <w:bottom w:val="nil"/>
              <w:right w:val="nil"/>
            </w:tcBorders>
            <w:hideMark/>
          </w:tcPr>
          <w:p w14:paraId="18EEE7EF" w14:textId="77777777" w:rsidR="006E1113" w:rsidRPr="000F327C" w:rsidRDefault="006E1113" w:rsidP="00CD26A9">
            <w:pPr>
              <w:pStyle w:val="cTableText"/>
            </w:pPr>
            <w:r w:rsidRPr="000F327C">
              <w:t>Enter E if the services resulted from a Child Health Services (EPSDT) screening/referral.</w:t>
            </w:r>
          </w:p>
        </w:tc>
      </w:tr>
      <w:tr w:rsidR="006E1113" w:rsidRPr="000F327C" w14:paraId="6889EA30" w14:textId="77777777" w:rsidTr="00CD26A9">
        <w:trPr>
          <w:gridAfter w:val="1"/>
          <w:wAfter w:w="45" w:type="dxa"/>
          <w:cantSplit/>
        </w:trPr>
        <w:tc>
          <w:tcPr>
            <w:tcW w:w="3622" w:type="dxa"/>
            <w:tcBorders>
              <w:top w:val="nil"/>
              <w:left w:val="nil"/>
              <w:bottom w:val="nil"/>
              <w:right w:val="nil"/>
            </w:tcBorders>
            <w:hideMark/>
          </w:tcPr>
          <w:p w14:paraId="7CFB884E" w14:textId="77777777" w:rsidR="006E1113" w:rsidRPr="000F327C" w:rsidRDefault="006E1113" w:rsidP="00CD26A9">
            <w:pPr>
              <w:pStyle w:val="cTableText"/>
              <w:ind w:left="965" w:hanging="475"/>
            </w:pPr>
            <w:r w:rsidRPr="000F327C">
              <w:t>I.</w:t>
            </w:r>
            <w:r w:rsidRPr="000F327C">
              <w:tab/>
              <w:t>ID QUAL</w:t>
            </w:r>
          </w:p>
        </w:tc>
        <w:tc>
          <w:tcPr>
            <w:tcW w:w="5232" w:type="dxa"/>
            <w:tcBorders>
              <w:top w:val="nil"/>
              <w:left w:val="nil"/>
              <w:bottom w:val="nil"/>
              <w:right w:val="nil"/>
            </w:tcBorders>
            <w:hideMark/>
          </w:tcPr>
          <w:p w14:paraId="58A90DF9" w14:textId="77777777" w:rsidR="006E1113" w:rsidRPr="000F327C" w:rsidRDefault="006E1113" w:rsidP="00CD26A9">
            <w:pPr>
              <w:pStyle w:val="cTableText"/>
            </w:pPr>
            <w:r w:rsidRPr="000F327C">
              <w:t>Not required.</w:t>
            </w:r>
          </w:p>
        </w:tc>
      </w:tr>
      <w:tr w:rsidR="006E1113" w:rsidRPr="000F327C" w14:paraId="3182DEBD" w14:textId="77777777" w:rsidTr="00CD26A9">
        <w:trPr>
          <w:gridAfter w:val="1"/>
          <w:wAfter w:w="45" w:type="dxa"/>
          <w:cantSplit/>
        </w:trPr>
        <w:tc>
          <w:tcPr>
            <w:tcW w:w="3622" w:type="dxa"/>
            <w:tcBorders>
              <w:top w:val="nil"/>
              <w:left w:val="nil"/>
              <w:bottom w:val="nil"/>
              <w:right w:val="nil"/>
            </w:tcBorders>
            <w:hideMark/>
          </w:tcPr>
          <w:p w14:paraId="0DEA2063" w14:textId="77777777" w:rsidR="006E1113" w:rsidRPr="000F327C" w:rsidRDefault="006E1113" w:rsidP="006E1113">
            <w:pPr>
              <w:pStyle w:val="cTableText"/>
              <w:ind w:left="965" w:hanging="475"/>
            </w:pPr>
            <w:r w:rsidRPr="000F327C">
              <w:t>J.</w:t>
            </w:r>
            <w:r w:rsidRPr="000F327C">
              <w:tab/>
              <w:t>RENDERING PROVIDER ID #</w:t>
            </w:r>
          </w:p>
        </w:tc>
        <w:tc>
          <w:tcPr>
            <w:tcW w:w="5232" w:type="dxa"/>
            <w:tcBorders>
              <w:top w:val="nil"/>
              <w:left w:val="nil"/>
              <w:bottom w:val="nil"/>
              <w:right w:val="nil"/>
            </w:tcBorders>
            <w:hideMark/>
          </w:tcPr>
          <w:p w14:paraId="69E92D7C" w14:textId="77777777" w:rsidR="006E1113" w:rsidRPr="000F327C" w:rsidRDefault="006E1113" w:rsidP="006E1113">
            <w:pPr>
              <w:pStyle w:val="cTableText"/>
              <w:rPr>
                <w:rFonts w:cs="Arial"/>
                <w:szCs w:val="21"/>
              </w:rPr>
            </w:pPr>
            <w:r w:rsidRPr="000F327C">
              <w:rPr>
                <w:rFonts w:cs="Arial"/>
                <w:szCs w:val="21"/>
              </w:rPr>
              <w:t>Enter the 9-digit Arkansas Medicaid provider ID number of the individual who furnished the services billed for in the detail or</w:t>
            </w:r>
          </w:p>
        </w:tc>
      </w:tr>
      <w:tr w:rsidR="006E1113" w:rsidRPr="000F327C" w14:paraId="4BE908E1" w14:textId="77777777" w:rsidTr="00CD26A9">
        <w:trPr>
          <w:gridAfter w:val="1"/>
          <w:wAfter w:w="45" w:type="dxa"/>
          <w:cantSplit/>
        </w:trPr>
        <w:tc>
          <w:tcPr>
            <w:tcW w:w="3622" w:type="dxa"/>
            <w:tcBorders>
              <w:top w:val="nil"/>
              <w:left w:val="nil"/>
              <w:bottom w:val="nil"/>
              <w:right w:val="nil"/>
            </w:tcBorders>
            <w:hideMark/>
          </w:tcPr>
          <w:p w14:paraId="04A7D9B2" w14:textId="77777777" w:rsidR="006E1113" w:rsidRPr="000F327C" w:rsidRDefault="006E1113" w:rsidP="006E1113">
            <w:pPr>
              <w:pStyle w:val="cTableText"/>
              <w:ind w:left="965" w:hanging="475"/>
            </w:pPr>
            <w:r w:rsidRPr="000F327C">
              <w:tab/>
              <w:t>NPI</w:t>
            </w:r>
          </w:p>
        </w:tc>
        <w:tc>
          <w:tcPr>
            <w:tcW w:w="5232" w:type="dxa"/>
            <w:tcBorders>
              <w:top w:val="nil"/>
              <w:left w:val="nil"/>
              <w:bottom w:val="nil"/>
              <w:right w:val="nil"/>
            </w:tcBorders>
            <w:hideMark/>
          </w:tcPr>
          <w:p w14:paraId="36573DC2" w14:textId="77777777" w:rsidR="006E1113" w:rsidRPr="000F327C" w:rsidRDefault="006E1113" w:rsidP="006E1113">
            <w:pPr>
              <w:pStyle w:val="cTableText"/>
              <w:rPr>
                <w:rFonts w:cs="Arial"/>
                <w:szCs w:val="21"/>
              </w:rPr>
            </w:pPr>
            <w:r w:rsidRPr="000F327C">
              <w:rPr>
                <w:rFonts w:cs="Arial"/>
                <w:szCs w:val="21"/>
              </w:rPr>
              <w:t>Enter NPI of the individual who furnished the services billed for in the detail.</w:t>
            </w:r>
          </w:p>
        </w:tc>
      </w:tr>
      <w:tr w:rsidR="006E1113" w:rsidRPr="000F327C" w14:paraId="24A8EC86"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46066B91" w14:textId="77777777" w:rsidR="006E1113" w:rsidRPr="000F327C" w:rsidRDefault="006E1113" w:rsidP="00CD26A9">
            <w:pPr>
              <w:pStyle w:val="cTableText"/>
              <w:ind w:left="475" w:hanging="475"/>
            </w:pPr>
            <w:r w:rsidRPr="000F327C">
              <w:t>25.</w:t>
            </w:r>
            <w:r w:rsidRPr="000F327C">
              <w:tab/>
              <w:t>FEDERAL TAX I.D. NUMBER</w:t>
            </w:r>
          </w:p>
        </w:tc>
        <w:tc>
          <w:tcPr>
            <w:tcW w:w="5232" w:type="dxa"/>
            <w:tcBorders>
              <w:top w:val="single" w:sz="6" w:space="0" w:color="000000"/>
              <w:left w:val="nil"/>
              <w:bottom w:val="single" w:sz="6" w:space="0" w:color="000000"/>
              <w:right w:val="nil"/>
            </w:tcBorders>
            <w:hideMark/>
          </w:tcPr>
          <w:p w14:paraId="7F596C9E" w14:textId="77777777" w:rsidR="006E1113" w:rsidRPr="000F327C" w:rsidRDefault="006E1113" w:rsidP="00CD26A9">
            <w:pPr>
              <w:pStyle w:val="cTableText"/>
            </w:pPr>
            <w:r w:rsidRPr="000F327C">
              <w:t>Not required.  This information is carried in the provider’s Medicaid file.  If it changes, please contact Provider Enrollment.</w:t>
            </w:r>
          </w:p>
        </w:tc>
      </w:tr>
      <w:tr w:rsidR="006E1113" w:rsidRPr="000F327C" w14:paraId="23152773"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7F86A5B8" w14:textId="77777777" w:rsidR="006E1113" w:rsidRPr="000F327C" w:rsidRDefault="006E1113" w:rsidP="00CD26A9">
            <w:pPr>
              <w:pStyle w:val="cTableText"/>
              <w:ind w:left="475" w:hanging="475"/>
            </w:pPr>
            <w:r w:rsidRPr="000F327C">
              <w:t>26.</w:t>
            </w:r>
            <w:r w:rsidRPr="000F327C">
              <w:tab/>
              <w:t>PATIENT’S ACCOUNT NO.</w:t>
            </w:r>
          </w:p>
        </w:tc>
        <w:tc>
          <w:tcPr>
            <w:tcW w:w="5232" w:type="dxa"/>
            <w:tcBorders>
              <w:top w:val="single" w:sz="6" w:space="0" w:color="000000"/>
              <w:left w:val="nil"/>
              <w:bottom w:val="single" w:sz="6" w:space="0" w:color="000000"/>
              <w:right w:val="nil"/>
            </w:tcBorders>
            <w:hideMark/>
          </w:tcPr>
          <w:p w14:paraId="6B908A43" w14:textId="77777777" w:rsidR="006E1113" w:rsidRPr="000F327C" w:rsidRDefault="006E1113" w:rsidP="00CD26A9">
            <w:pPr>
              <w:pStyle w:val="cTableText"/>
            </w:pPr>
            <w:proofErr w:type="gramStart"/>
            <w:r w:rsidRPr="000F327C">
              <w:t>Optional</w:t>
            </w:r>
            <w:proofErr w:type="gramEnd"/>
            <w:r w:rsidRPr="000F327C">
              <w:t xml:space="preserve"> entry that may be used for accounting purposes; use up to 16 numeric or alphabetic characters.  This number appears on the Remittance Advice as “MRN.”</w:t>
            </w:r>
          </w:p>
        </w:tc>
      </w:tr>
      <w:tr w:rsidR="006E1113" w:rsidRPr="000F327C" w14:paraId="58F5CE91"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7D972B09" w14:textId="77777777" w:rsidR="006E1113" w:rsidRPr="000F327C" w:rsidRDefault="006E1113" w:rsidP="00CD26A9">
            <w:pPr>
              <w:pStyle w:val="cTableText"/>
              <w:ind w:left="475" w:hanging="475"/>
            </w:pPr>
            <w:r w:rsidRPr="000F327C">
              <w:t>27.</w:t>
            </w:r>
            <w:r w:rsidRPr="000F327C">
              <w:tab/>
              <w:t>ACCEPT ASSIGNMENT?</w:t>
            </w:r>
          </w:p>
        </w:tc>
        <w:tc>
          <w:tcPr>
            <w:tcW w:w="5232" w:type="dxa"/>
            <w:tcBorders>
              <w:top w:val="single" w:sz="6" w:space="0" w:color="000000"/>
              <w:left w:val="nil"/>
              <w:bottom w:val="single" w:sz="6" w:space="0" w:color="000000"/>
              <w:right w:val="nil"/>
            </w:tcBorders>
            <w:hideMark/>
          </w:tcPr>
          <w:p w14:paraId="2B5AE451" w14:textId="77777777" w:rsidR="006E1113" w:rsidRPr="000F327C" w:rsidRDefault="006E1113" w:rsidP="00CD26A9">
            <w:pPr>
              <w:pStyle w:val="cTableText"/>
            </w:pPr>
            <w:r w:rsidRPr="000F327C">
              <w:t xml:space="preserve">Not required. </w:t>
            </w:r>
            <w:proofErr w:type="gramStart"/>
            <w:r w:rsidRPr="000F327C">
              <w:t>Assignment is automatically accepted by the provider</w:t>
            </w:r>
            <w:proofErr w:type="gramEnd"/>
            <w:r w:rsidRPr="000F327C">
              <w:t xml:space="preserve"> when billing Medicaid.</w:t>
            </w:r>
          </w:p>
        </w:tc>
      </w:tr>
      <w:tr w:rsidR="006E1113" w:rsidRPr="000F327C" w14:paraId="52C82AA1"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69027407" w14:textId="77777777" w:rsidR="006E1113" w:rsidRPr="000F327C" w:rsidRDefault="006E1113" w:rsidP="00CD26A9">
            <w:pPr>
              <w:pStyle w:val="cTableText"/>
              <w:ind w:left="475" w:hanging="475"/>
            </w:pPr>
            <w:r w:rsidRPr="000F327C">
              <w:t>28.</w:t>
            </w:r>
            <w:r w:rsidRPr="000F327C">
              <w:tab/>
              <w:t>TOTAL CHARGE</w:t>
            </w:r>
          </w:p>
        </w:tc>
        <w:tc>
          <w:tcPr>
            <w:tcW w:w="5232" w:type="dxa"/>
            <w:tcBorders>
              <w:top w:val="single" w:sz="6" w:space="0" w:color="000000"/>
              <w:left w:val="nil"/>
              <w:bottom w:val="single" w:sz="6" w:space="0" w:color="000000"/>
              <w:right w:val="nil"/>
            </w:tcBorders>
            <w:hideMark/>
          </w:tcPr>
          <w:p w14:paraId="1E2A2B34" w14:textId="77777777" w:rsidR="006E1113" w:rsidRPr="000F327C" w:rsidRDefault="006E1113" w:rsidP="00CD26A9">
            <w:pPr>
              <w:pStyle w:val="cTableText"/>
            </w:pPr>
            <w:r w:rsidRPr="000F327C">
              <w:t>Total of Column 24F—the sum all charges on the claim.</w:t>
            </w:r>
          </w:p>
        </w:tc>
      </w:tr>
      <w:tr w:rsidR="006E1113" w:rsidRPr="000F327C" w14:paraId="2F44B254"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641839ED" w14:textId="77777777" w:rsidR="006E1113" w:rsidRPr="000F327C" w:rsidRDefault="006E1113" w:rsidP="00CD26A9">
            <w:pPr>
              <w:pStyle w:val="cTableText"/>
              <w:ind w:left="475" w:hanging="475"/>
            </w:pPr>
            <w:r w:rsidRPr="000F327C">
              <w:t>29.</w:t>
            </w:r>
            <w:r w:rsidRPr="000F327C">
              <w:tab/>
              <w:t>AMOUNT PAID</w:t>
            </w:r>
          </w:p>
        </w:tc>
        <w:tc>
          <w:tcPr>
            <w:tcW w:w="5232" w:type="dxa"/>
            <w:tcBorders>
              <w:top w:val="single" w:sz="6" w:space="0" w:color="000000"/>
              <w:left w:val="nil"/>
              <w:bottom w:val="single" w:sz="6" w:space="0" w:color="000000"/>
              <w:right w:val="nil"/>
            </w:tcBorders>
            <w:hideMark/>
          </w:tcPr>
          <w:p w14:paraId="10733854" w14:textId="77777777" w:rsidR="006E1113" w:rsidRPr="000F327C" w:rsidRDefault="006E1113" w:rsidP="00CD26A9">
            <w:pPr>
              <w:pStyle w:val="cTableText"/>
            </w:pPr>
            <w:r w:rsidRPr="000F327C">
              <w:t xml:space="preserve">Enter the total of payments previously received on this claim.  Do not include amounts previously paid by Medicaid.  *Do </w:t>
            </w:r>
            <w:r w:rsidRPr="000F327C">
              <w:rPr>
                <w:b/>
              </w:rPr>
              <w:t xml:space="preserve">not </w:t>
            </w:r>
            <w:r w:rsidRPr="000F327C">
              <w:t>include in this total the automatically deducted Medicaid co-payments.</w:t>
            </w:r>
          </w:p>
        </w:tc>
      </w:tr>
      <w:tr w:rsidR="006E1113" w:rsidRPr="000F327C" w14:paraId="1C6921D7"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797A02C0" w14:textId="77777777" w:rsidR="006E1113" w:rsidRPr="000F327C" w:rsidRDefault="006E1113" w:rsidP="00CD26A9">
            <w:pPr>
              <w:pStyle w:val="cTableText"/>
              <w:ind w:left="475" w:hanging="475"/>
            </w:pPr>
            <w:r w:rsidRPr="000F327C">
              <w:t>30.</w:t>
            </w:r>
            <w:r w:rsidRPr="000F327C">
              <w:tab/>
              <w:t>RESERVED</w:t>
            </w:r>
          </w:p>
        </w:tc>
        <w:tc>
          <w:tcPr>
            <w:tcW w:w="5232" w:type="dxa"/>
            <w:tcBorders>
              <w:top w:val="single" w:sz="6" w:space="0" w:color="000000"/>
              <w:left w:val="nil"/>
              <w:bottom w:val="single" w:sz="6" w:space="0" w:color="000000"/>
              <w:right w:val="nil"/>
            </w:tcBorders>
            <w:hideMark/>
          </w:tcPr>
          <w:p w14:paraId="58C86F78" w14:textId="77777777" w:rsidR="006E1113" w:rsidRPr="000F327C" w:rsidRDefault="006E1113" w:rsidP="00CD26A9">
            <w:pPr>
              <w:pStyle w:val="cTableText"/>
            </w:pPr>
            <w:r w:rsidRPr="000F327C">
              <w:t>Reserved for NUCC use.</w:t>
            </w:r>
          </w:p>
        </w:tc>
      </w:tr>
      <w:tr w:rsidR="006E1113" w:rsidRPr="000F327C" w14:paraId="71132BEC" w14:textId="77777777" w:rsidTr="00CD26A9">
        <w:trPr>
          <w:gridAfter w:val="1"/>
          <w:wAfter w:w="45" w:type="dxa"/>
          <w:cantSplit/>
        </w:trPr>
        <w:tc>
          <w:tcPr>
            <w:tcW w:w="3622" w:type="dxa"/>
            <w:tcBorders>
              <w:top w:val="single" w:sz="6" w:space="0" w:color="000000"/>
              <w:left w:val="nil"/>
              <w:bottom w:val="single" w:sz="6" w:space="0" w:color="000000"/>
              <w:right w:val="nil"/>
            </w:tcBorders>
            <w:hideMark/>
          </w:tcPr>
          <w:p w14:paraId="08440761" w14:textId="77777777" w:rsidR="006E1113" w:rsidRPr="000F327C" w:rsidRDefault="006E1113" w:rsidP="00CD26A9">
            <w:pPr>
              <w:pStyle w:val="cTableText"/>
              <w:ind w:left="475" w:hanging="475"/>
            </w:pPr>
            <w:r w:rsidRPr="000F327C">
              <w:t>31.</w:t>
            </w:r>
            <w:r w:rsidRPr="000F327C">
              <w:tab/>
              <w:t>SIGNATURE OF PHYSICIAN OR SUPPLIER INCLUDING DEGREES OR CREDENTIALS</w:t>
            </w:r>
          </w:p>
        </w:tc>
        <w:tc>
          <w:tcPr>
            <w:tcW w:w="5232" w:type="dxa"/>
            <w:tcBorders>
              <w:top w:val="single" w:sz="6" w:space="0" w:color="000000"/>
              <w:left w:val="nil"/>
              <w:bottom w:val="single" w:sz="6" w:space="0" w:color="000000"/>
              <w:right w:val="nil"/>
            </w:tcBorders>
            <w:hideMark/>
          </w:tcPr>
          <w:p w14:paraId="34DBD8A6" w14:textId="77777777" w:rsidR="006E1113" w:rsidRPr="000F327C" w:rsidRDefault="006E1113" w:rsidP="00CD26A9">
            <w:pPr>
              <w:pStyle w:val="cTableText"/>
            </w:pPr>
            <w:r w:rsidRPr="000F327C">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6E1113" w:rsidRPr="000F327C" w14:paraId="097DFD5E" w14:textId="77777777" w:rsidTr="00CD26A9">
        <w:trPr>
          <w:gridAfter w:val="1"/>
          <w:wAfter w:w="45" w:type="dxa"/>
          <w:cantSplit/>
        </w:trPr>
        <w:tc>
          <w:tcPr>
            <w:tcW w:w="3622" w:type="dxa"/>
            <w:tcBorders>
              <w:top w:val="single" w:sz="6" w:space="0" w:color="000000"/>
              <w:left w:val="nil"/>
              <w:bottom w:val="nil"/>
              <w:right w:val="nil"/>
            </w:tcBorders>
            <w:hideMark/>
          </w:tcPr>
          <w:p w14:paraId="0788F1DA" w14:textId="77777777" w:rsidR="006E1113" w:rsidRPr="000F327C" w:rsidRDefault="006E1113" w:rsidP="00CD26A9">
            <w:pPr>
              <w:pStyle w:val="cTableText"/>
              <w:ind w:left="475" w:hanging="475"/>
            </w:pPr>
            <w:r w:rsidRPr="000F327C">
              <w:lastRenderedPageBreak/>
              <w:t>32.</w:t>
            </w:r>
            <w:r w:rsidRPr="000F327C">
              <w:tab/>
              <w:t>SERVICE FACILITY LOCATION INFORMATION</w:t>
            </w:r>
          </w:p>
        </w:tc>
        <w:tc>
          <w:tcPr>
            <w:tcW w:w="5232" w:type="dxa"/>
            <w:tcBorders>
              <w:top w:val="single" w:sz="6" w:space="0" w:color="000000"/>
              <w:left w:val="nil"/>
              <w:bottom w:val="nil"/>
              <w:right w:val="nil"/>
            </w:tcBorders>
            <w:hideMark/>
          </w:tcPr>
          <w:p w14:paraId="2BB2E813" w14:textId="77777777" w:rsidR="006E1113" w:rsidRPr="000F327C" w:rsidRDefault="006E1113" w:rsidP="00CD26A9">
            <w:pPr>
              <w:pStyle w:val="cTableText"/>
            </w:pPr>
            <w:r w:rsidRPr="000F327C">
              <w:t>If other than home or office, enter the name and street, city, state, and zip code of the facility where services were performed.</w:t>
            </w:r>
          </w:p>
        </w:tc>
      </w:tr>
      <w:tr w:rsidR="006E1113" w:rsidRPr="000F327C" w14:paraId="77908868" w14:textId="77777777" w:rsidTr="00CD26A9">
        <w:trPr>
          <w:gridAfter w:val="1"/>
          <w:wAfter w:w="45" w:type="dxa"/>
          <w:cantSplit/>
        </w:trPr>
        <w:tc>
          <w:tcPr>
            <w:tcW w:w="3622" w:type="dxa"/>
            <w:tcBorders>
              <w:top w:val="nil"/>
              <w:left w:val="nil"/>
              <w:bottom w:val="nil"/>
              <w:right w:val="nil"/>
            </w:tcBorders>
            <w:hideMark/>
          </w:tcPr>
          <w:p w14:paraId="416DB82B" w14:textId="77777777" w:rsidR="006E1113" w:rsidRPr="000F327C" w:rsidRDefault="006E1113" w:rsidP="00CD26A9">
            <w:pPr>
              <w:pStyle w:val="cTableText"/>
              <w:ind w:left="475" w:hanging="475"/>
            </w:pPr>
            <w:r w:rsidRPr="000F327C">
              <w:tab/>
              <w:t>a.</w:t>
            </w:r>
            <w:r w:rsidRPr="000F327C">
              <w:tab/>
              <w:t>(blank)</w:t>
            </w:r>
          </w:p>
        </w:tc>
        <w:tc>
          <w:tcPr>
            <w:tcW w:w="5232" w:type="dxa"/>
            <w:tcBorders>
              <w:top w:val="nil"/>
              <w:left w:val="nil"/>
              <w:bottom w:val="nil"/>
              <w:right w:val="nil"/>
            </w:tcBorders>
            <w:hideMark/>
          </w:tcPr>
          <w:p w14:paraId="293F2C3A" w14:textId="77777777" w:rsidR="006E1113" w:rsidRPr="000F327C" w:rsidRDefault="006E1113" w:rsidP="00CD26A9">
            <w:pPr>
              <w:pStyle w:val="cTableText"/>
            </w:pPr>
            <w:r w:rsidRPr="000F327C">
              <w:t>Not required.</w:t>
            </w:r>
          </w:p>
        </w:tc>
      </w:tr>
      <w:tr w:rsidR="006E1113" w:rsidRPr="000F327C" w14:paraId="756CEA05" w14:textId="77777777" w:rsidTr="00CD26A9">
        <w:trPr>
          <w:gridAfter w:val="1"/>
          <w:wAfter w:w="45" w:type="dxa"/>
          <w:cantSplit/>
        </w:trPr>
        <w:tc>
          <w:tcPr>
            <w:tcW w:w="3622" w:type="dxa"/>
            <w:tcBorders>
              <w:top w:val="nil"/>
              <w:left w:val="nil"/>
              <w:bottom w:val="nil"/>
              <w:right w:val="nil"/>
            </w:tcBorders>
            <w:hideMark/>
          </w:tcPr>
          <w:p w14:paraId="7ECDE7BA" w14:textId="77777777" w:rsidR="006E1113" w:rsidRPr="000F327C" w:rsidRDefault="006E1113" w:rsidP="00CD26A9">
            <w:pPr>
              <w:pStyle w:val="cTableText"/>
              <w:ind w:left="475" w:hanging="475"/>
            </w:pPr>
            <w:r w:rsidRPr="000F327C">
              <w:tab/>
              <w:t>b.</w:t>
            </w:r>
            <w:r w:rsidRPr="000F327C">
              <w:tab/>
              <w:t>(blank)</w:t>
            </w:r>
          </w:p>
        </w:tc>
        <w:tc>
          <w:tcPr>
            <w:tcW w:w="5232" w:type="dxa"/>
            <w:tcBorders>
              <w:top w:val="nil"/>
              <w:left w:val="nil"/>
              <w:bottom w:val="nil"/>
              <w:right w:val="nil"/>
            </w:tcBorders>
            <w:hideMark/>
          </w:tcPr>
          <w:p w14:paraId="3C3FC4C7" w14:textId="77777777" w:rsidR="006E1113" w:rsidRPr="000F327C" w:rsidRDefault="006E1113" w:rsidP="00CD26A9">
            <w:pPr>
              <w:pStyle w:val="cTableText"/>
            </w:pPr>
            <w:r w:rsidRPr="000F327C">
              <w:t>Not required.</w:t>
            </w:r>
          </w:p>
        </w:tc>
      </w:tr>
      <w:tr w:rsidR="006E1113" w:rsidRPr="000F327C" w14:paraId="37CD46D9" w14:textId="77777777" w:rsidTr="00CD26A9">
        <w:trPr>
          <w:gridAfter w:val="1"/>
          <w:wAfter w:w="45" w:type="dxa"/>
          <w:cantSplit/>
        </w:trPr>
        <w:tc>
          <w:tcPr>
            <w:tcW w:w="3622" w:type="dxa"/>
            <w:tcBorders>
              <w:top w:val="single" w:sz="6" w:space="0" w:color="000000"/>
              <w:left w:val="nil"/>
              <w:bottom w:val="nil"/>
              <w:right w:val="nil"/>
            </w:tcBorders>
            <w:hideMark/>
          </w:tcPr>
          <w:p w14:paraId="6E5AB8F3" w14:textId="77777777" w:rsidR="006E1113" w:rsidRPr="000F327C" w:rsidRDefault="006E1113" w:rsidP="00CD26A9">
            <w:pPr>
              <w:pStyle w:val="cTableText"/>
              <w:ind w:left="475" w:hanging="475"/>
            </w:pPr>
            <w:r w:rsidRPr="000F327C">
              <w:t>33.</w:t>
            </w:r>
            <w:r w:rsidRPr="000F327C">
              <w:tab/>
              <w:t>BILLING PROVIDER INFO &amp; PH #</w:t>
            </w:r>
          </w:p>
        </w:tc>
        <w:tc>
          <w:tcPr>
            <w:tcW w:w="5232" w:type="dxa"/>
            <w:tcBorders>
              <w:top w:val="single" w:sz="6" w:space="0" w:color="000000"/>
              <w:left w:val="nil"/>
              <w:bottom w:val="nil"/>
              <w:right w:val="nil"/>
            </w:tcBorders>
            <w:hideMark/>
          </w:tcPr>
          <w:p w14:paraId="29763B4A" w14:textId="77777777" w:rsidR="006E1113" w:rsidRPr="000F327C" w:rsidRDefault="006E1113" w:rsidP="00CD26A9">
            <w:pPr>
              <w:pStyle w:val="cTableText"/>
            </w:pPr>
            <w:r w:rsidRPr="000F327C">
              <w:t xml:space="preserve">Billing provider’s name and complete address. </w:t>
            </w:r>
            <w:proofErr w:type="gramStart"/>
            <w:r w:rsidRPr="000F327C">
              <w:t>Telephone</w:t>
            </w:r>
            <w:proofErr w:type="gramEnd"/>
            <w:r w:rsidRPr="000F327C">
              <w:t xml:space="preserve"> number is requested but not required.</w:t>
            </w:r>
          </w:p>
        </w:tc>
      </w:tr>
      <w:tr w:rsidR="006E1113" w:rsidRPr="000F327C" w14:paraId="2A7B9EE6" w14:textId="77777777" w:rsidTr="00CD26A9">
        <w:trPr>
          <w:gridAfter w:val="1"/>
          <w:wAfter w:w="45" w:type="dxa"/>
          <w:cantSplit/>
        </w:trPr>
        <w:tc>
          <w:tcPr>
            <w:tcW w:w="3622" w:type="dxa"/>
            <w:tcBorders>
              <w:top w:val="nil"/>
              <w:left w:val="nil"/>
              <w:bottom w:val="nil"/>
              <w:right w:val="nil"/>
            </w:tcBorders>
            <w:hideMark/>
          </w:tcPr>
          <w:p w14:paraId="5923B8D0" w14:textId="77777777" w:rsidR="006E1113" w:rsidRPr="000F327C" w:rsidRDefault="006E1113" w:rsidP="006E1113">
            <w:pPr>
              <w:pStyle w:val="cTableText"/>
              <w:ind w:left="475" w:firstLine="40"/>
            </w:pPr>
            <w:r w:rsidRPr="000F327C">
              <w:t>a.</w:t>
            </w:r>
            <w:r w:rsidRPr="000F327C">
              <w:tab/>
              <w:t>(blank)</w:t>
            </w:r>
          </w:p>
        </w:tc>
        <w:tc>
          <w:tcPr>
            <w:tcW w:w="5232" w:type="dxa"/>
            <w:tcBorders>
              <w:top w:val="nil"/>
              <w:left w:val="nil"/>
              <w:bottom w:val="nil"/>
              <w:right w:val="nil"/>
            </w:tcBorders>
            <w:hideMark/>
          </w:tcPr>
          <w:p w14:paraId="4A75F66D" w14:textId="77777777" w:rsidR="006E1113" w:rsidRPr="000F327C" w:rsidRDefault="006E1113" w:rsidP="006E1113">
            <w:pPr>
              <w:pStyle w:val="cTableText"/>
              <w:rPr>
                <w:rFonts w:cs="Arial"/>
                <w:szCs w:val="21"/>
              </w:rPr>
            </w:pPr>
            <w:r w:rsidRPr="000F327C">
              <w:rPr>
                <w:rFonts w:cs="Arial"/>
                <w:szCs w:val="21"/>
              </w:rPr>
              <w:t>Enter NPI of the billing provider or</w:t>
            </w:r>
          </w:p>
        </w:tc>
      </w:tr>
      <w:tr w:rsidR="006E1113" w:rsidRPr="000F327C" w14:paraId="04DB7E09" w14:textId="77777777" w:rsidTr="00CD26A9">
        <w:trPr>
          <w:gridAfter w:val="1"/>
          <w:wAfter w:w="45" w:type="dxa"/>
          <w:cantSplit/>
        </w:trPr>
        <w:tc>
          <w:tcPr>
            <w:tcW w:w="3622" w:type="dxa"/>
            <w:tcBorders>
              <w:top w:val="nil"/>
              <w:left w:val="nil"/>
              <w:bottom w:val="single" w:sz="4" w:space="0" w:color="auto"/>
              <w:right w:val="nil"/>
            </w:tcBorders>
            <w:hideMark/>
          </w:tcPr>
          <w:p w14:paraId="638B9539" w14:textId="77777777" w:rsidR="006E1113" w:rsidRPr="000F327C" w:rsidRDefault="006E1113" w:rsidP="006E1113">
            <w:pPr>
              <w:pStyle w:val="cTableText"/>
              <w:ind w:left="475" w:firstLine="40"/>
            </w:pPr>
            <w:r w:rsidRPr="000F327C">
              <w:t>b.</w:t>
            </w:r>
            <w:r w:rsidRPr="000F327C">
              <w:tab/>
              <w:t>(blank)</w:t>
            </w:r>
          </w:p>
        </w:tc>
        <w:tc>
          <w:tcPr>
            <w:tcW w:w="5232" w:type="dxa"/>
            <w:tcBorders>
              <w:top w:val="nil"/>
              <w:left w:val="nil"/>
              <w:bottom w:val="single" w:sz="4" w:space="0" w:color="auto"/>
              <w:right w:val="nil"/>
            </w:tcBorders>
            <w:hideMark/>
          </w:tcPr>
          <w:p w14:paraId="7CE8AA55" w14:textId="77777777" w:rsidR="006E1113" w:rsidRPr="000F327C" w:rsidRDefault="006E1113" w:rsidP="006E1113">
            <w:pPr>
              <w:pStyle w:val="cTableText"/>
              <w:rPr>
                <w:rFonts w:cs="Arial"/>
                <w:szCs w:val="21"/>
              </w:rPr>
            </w:pPr>
            <w:r w:rsidRPr="000F327C">
              <w:rPr>
                <w:rFonts w:cs="Arial"/>
                <w:szCs w:val="21"/>
              </w:rPr>
              <w:t>Enter the 9-digit Arkansas Medicaid provider ID number of the billing provider.</w:t>
            </w:r>
          </w:p>
        </w:tc>
      </w:tr>
    </w:tbl>
    <w:p w14:paraId="737EDC2F" w14:textId="77777777" w:rsidR="009A385A" w:rsidRPr="000F327C" w:rsidRDefault="009A385A" w:rsidP="009A385A">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0355" w:rsidRPr="000F327C" w14:paraId="73490AE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4D1EAC3" w14:textId="77777777" w:rsidR="004C0355" w:rsidRPr="000F327C" w:rsidRDefault="004C0355">
            <w:pPr>
              <w:pStyle w:val="chead2"/>
            </w:pPr>
            <w:bookmarkStart w:id="99" w:name="_Toc199229759"/>
            <w:r w:rsidRPr="000F327C">
              <w:t>242.400</w:t>
            </w:r>
            <w:r w:rsidRPr="000F327C">
              <w:tab/>
              <w:t>Special Billing Procedures</w:t>
            </w:r>
            <w:bookmarkEnd w:id="99"/>
          </w:p>
        </w:tc>
        <w:tc>
          <w:tcPr>
            <w:tcW w:w="1238" w:type="dxa"/>
            <w:tcBorders>
              <w:top w:val="single" w:sz="2" w:space="0" w:color="FFFFFF"/>
              <w:left w:val="single" w:sz="6" w:space="0" w:color="FFFFFF"/>
              <w:bottom w:val="single" w:sz="2" w:space="0" w:color="FFFFFF"/>
              <w:right w:val="single" w:sz="2" w:space="0" w:color="FFFFFF"/>
            </w:tcBorders>
          </w:tcPr>
          <w:p w14:paraId="6428260F" w14:textId="77777777" w:rsidR="004C0355" w:rsidRPr="000F327C" w:rsidRDefault="004C0355">
            <w:pPr>
              <w:pStyle w:val="cDate2"/>
            </w:pPr>
            <w:smartTag w:uri="urn:schemas-microsoft-com:office:smarttags" w:element="date">
              <w:smartTagPr>
                <w:attr w:name="Month" w:val="10"/>
                <w:attr w:name="Day" w:val="13"/>
                <w:attr w:name="Year" w:val="2003"/>
              </w:smartTagPr>
              <w:r w:rsidRPr="000F327C">
                <w:t>10-13-03</w:t>
              </w:r>
            </w:smartTag>
          </w:p>
        </w:tc>
      </w:tr>
    </w:tbl>
    <w:p w14:paraId="54333620" w14:textId="77777777" w:rsidR="004C0355" w:rsidRPr="000F327C" w:rsidRDefault="004C0355">
      <w:pPr>
        <w:pStyle w:val="ctext"/>
      </w:pPr>
      <w:r w:rsidRPr="000F327C">
        <w:t xml:space="preserve">Each claim should reflect a </w:t>
      </w:r>
      <w:proofErr w:type="gramStart"/>
      <w:r w:rsidRPr="000F327C">
        <w:t>from</w:t>
      </w:r>
      <w:proofErr w:type="gramEnd"/>
      <w:r w:rsidRPr="000F327C">
        <w:t xml:space="preserve"> and </w:t>
      </w:r>
      <w:proofErr w:type="gramStart"/>
      <w:r w:rsidRPr="000F327C">
        <w:t>thru</w:t>
      </w:r>
      <w:proofErr w:type="gramEnd"/>
      <w:r w:rsidRPr="000F327C">
        <w:t xml:space="preserve"> date of service.  The claims should not be filed until the </w:t>
      </w:r>
      <w:proofErr w:type="gramStart"/>
      <w:r w:rsidRPr="000F327C">
        <w:t>thru</w:t>
      </w:r>
      <w:proofErr w:type="gramEnd"/>
      <w:r w:rsidRPr="000F327C">
        <w:t xml:space="preserve"> date has elapsed.  Claims may be submitted on either a weekly or monthly basis.</w:t>
      </w:r>
    </w:p>
    <w:p w14:paraId="4BB0421D" w14:textId="77777777" w:rsidR="004C0355" w:rsidRPr="000F327C" w:rsidRDefault="004C0355">
      <w:pPr>
        <w:pStyle w:val="ctext"/>
      </w:pPr>
      <w:r w:rsidRPr="000F327C">
        <w:t xml:space="preserve">Two separate claims should be filed when one prior authorization </w:t>
      </w:r>
      <w:proofErr w:type="gramStart"/>
      <w:r w:rsidRPr="000F327C">
        <w:t>expires</w:t>
      </w:r>
      <w:proofErr w:type="gramEnd"/>
      <w:r w:rsidRPr="000F327C">
        <w:t xml:space="preserve"> and another prior authorization begins.</w:t>
      </w:r>
    </w:p>
    <w:tbl>
      <w:tblPr>
        <w:tblW w:w="9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22"/>
        <w:gridCol w:w="1238"/>
      </w:tblGrid>
      <w:tr w:rsidR="008759CD" w:rsidRPr="000F327C" w14:paraId="790AE145" w14:textId="77777777" w:rsidTr="006F35E4">
        <w:tc>
          <w:tcPr>
            <w:tcW w:w="8122" w:type="dxa"/>
            <w:tcBorders>
              <w:top w:val="single" w:sz="2" w:space="0" w:color="FFFFFF"/>
              <w:left w:val="single" w:sz="2" w:space="0" w:color="FFFFFF"/>
              <w:bottom w:val="single" w:sz="2" w:space="0" w:color="FFFFFF"/>
              <w:right w:val="single" w:sz="6" w:space="0" w:color="FFFFFF"/>
            </w:tcBorders>
          </w:tcPr>
          <w:p w14:paraId="43E5403B" w14:textId="77777777" w:rsidR="008759CD" w:rsidRPr="000F327C" w:rsidRDefault="008759CD" w:rsidP="008759CD">
            <w:pPr>
              <w:pStyle w:val="chead2"/>
              <w:keepNext/>
            </w:pPr>
            <w:bookmarkStart w:id="100" w:name="_Toc210722879"/>
            <w:bookmarkStart w:id="101" w:name="_Toc210723845"/>
            <w:bookmarkStart w:id="102" w:name="_Toc213047211"/>
            <w:bookmarkStart w:id="103" w:name="_Toc413675274"/>
            <w:bookmarkStart w:id="104" w:name="_Toc199229760"/>
            <w:r w:rsidRPr="000F327C">
              <w:t>242.401</w:t>
            </w:r>
            <w:r w:rsidRPr="000F327C">
              <w:tab/>
            </w:r>
            <w:bookmarkEnd w:id="100"/>
            <w:bookmarkEnd w:id="101"/>
            <w:bookmarkEnd w:id="102"/>
            <w:bookmarkEnd w:id="103"/>
            <w:r w:rsidRPr="000F327C">
              <w:t>National Drug Codes (NDCs)</w:t>
            </w:r>
            <w:bookmarkEnd w:id="104"/>
          </w:p>
        </w:tc>
        <w:tc>
          <w:tcPr>
            <w:tcW w:w="1238" w:type="dxa"/>
            <w:tcBorders>
              <w:top w:val="single" w:sz="2" w:space="0" w:color="FFFFFF"/>
              <w:left w:val="single" w:sz="6" w:space="0" w:color="FFFFFF"/>
              <w:bottom w:val="single" w:sz="2" w:space="0" w:color="FFFFFF"/>
              <w:right w:val="single" w:sz="2" w:space="0" w:color="FFFFFF"/>
            </w:tcBorders>
          </w:tcPr>
          <w:p w14:paraId="4CDDEE46" w14:textId="77777777" w:rsidR="008759CD" w:rsidRPr="000F327C" w:rsidRDefault="00B76E69" w:rsidP="008759CD">
            <w:pPr>
              <w:pStyle w:val="cDate2"/>
              <w:keepNext/>
            </w:pPr>
            <w:r w:rsidRPr="000F327C">
              <w:t>1-1-23</w:t>
            </w:r>
          </w:p>
        </w:tc>
      </w:tr>
    </w:tbl>
    <w:p w14:paraId="31711F36" w14:textId="77777777" w:rsidR="00EC680B" w:rsidRPr="000F327C" w:rsidRDefault="00EC680B" w:rsidP="00EC680B">
      <w:pPr>
        <w:pStyle w:val="ctext"/>
        <w:rPr>
          <w:rFonts w:cs="Arial"/>
          <w:szCs w:val="21"/>
        </w:rPr>
      </w:pPr>
      <w:bookmarkStart w:id="105" w:name="_Hlk121738450"/>
      <w:r w:rsidRPr="000F327C">
        <w:rPr>
          <w:rFonts w:cs="Arial"/>
          <w:szCs w:val="21"/>
        </w:rPr>
        <w:t>Effective for claims with dates of service on or after January 1, 2008, Arkansas Medicaid implemented billing protocol per the Federal Deficit Reduction Act of 2005.  This explains policy and billing protocol for providers that submit claims for drug HCPCS/CPT codes with dates of service on and after January 1, 2008.</w:t>
      </w:r>
    </w:p>
    <w:p w14:paraId="5BC719EE" w14:textId="77777777" w:rsidR="00EC680B" w:rsidRPr="000F327C" w:rsidRDefault="00EC680B" w:rsidP="00EC680B">
      <w:pPr>
        <w:pStyle w:val="ctext"/>
        <w:rPr>
          <w:rFonts w:cs="Arial"/>
          <w:szCs w:val="21"/>
        </w:rPr>
      </w:pPr>
      <w:r w:rsidRPr="000F327C">
        <w:rPr>
          <w:rFonts w:cs="Arial"/>
          <w:szCs w:val="21"/>
        </w:rPr>
        <w:t xml:space="preserve">The Federal Deficit Reduction Act of 2005 mandates that Arkansas Medicaid require the submission of National Drug Codes (NDCs) on claims submitted with </w:t>
      </w:r>
      <w:r w:rsidRPr="000F327C">
        <w:t>Healthcare Common Procedure Coding System</w:t>
      </w:r>
      <w:r w:rsidRPr="000F327C">
        <w:rPr>
          <w:rFonts w:cs="Arial"/>
          <w:szCs w:val="21"/>
        </w:rPr>
        <w:t>, Level II/Current Procedural Terminology, 4</w:t>
      </w:r>
      <w:r w:rsidRPr="000F327C">
        <w:rPr>
          <w:rFonts w:cs="Arial"/>
          <w:szCs w:val="21"/>
          <w:vertAlign w:val="superscript"/>
        </w:rPr>
        <w:t>th</w:t>
      </w:r>
      <w:r w:rsidRPr="000F327C">
        <w:rPr>
          <w:rFonts w:cs="Arial"/>
          <w:szCs w:val="21"/>
        </w:rPr>
        <w:t xml:space="preserve"> edition (HCPCS/CPT) codes for </w:t>
      </w:r>
      <w:r w:rsidRPr="000F327C">
        <w:rPr>
          <w:rFonts w:cs="Arial"/>
          <w:b/>
          <w:szCs w:val="21"/>
        </w:rPr>
        <w:t>drugs</w:t>
      </w:r>
      <w:r w:rsidRPr="000F327C">
        <w:rPr>
          <w:rFonts w:cs="Arial"/>
          <w:szCs w:val="21"/>
        </w:rPr>
        <w:t xml:space="preserve"> administered.  The purpose of this requirement is to assure that the State Medicaid Agencies obtain a rebate from those manufacturers who have signed a rebate agreement with the Centers for Medicare and Medicaid Services (CMS).</w:t>
      </w:r>
    </w:p>
    <w:p w14:paraId="003AABF6" w14:textId="77777777" w:rsidR="00EC680B" w:rsidRPr="000F327C" w:rsidRDefault="00EC680B" w:rsidP="00EC680B">
      <w:pPr>
        <w:pStyle w:val="CLETTERED"/>
        <w:rPr>
          <w:rFonts w:cs="Arial"/>
          <w:szCs w:val="21"/>
        </w:rPr>
      </w:pPr>
      <w:r w:rsidRPr="000F327C">
        <w:rPr>
          <w:rFonts w:cs="Arial"/>
          <w:szCs w:val="21"/>
        </w:rPr>
        <w:t>A.</w:t>
      </w:r>
      <w:r w:rsidRPr="000F327C">
        <w:rPr>
          <w:rFonts w:cs="Arial"/>
          <w:szCs w:val="21"/>
        </w:rPr>
        <w:tab/>
        <w:t>Covered Labelers</w:t>
      </w:r>
    </w:p>
    <w:p w14:paraId="65E3B071" w14:textId="77777777" w:rsidR="00EC680B" w:rsidRPr="000F327C" w:rsidRDefault="00EC680B" w:rsidP="00EC680B">
      <w:pPr>
        <w:pStyle w:val="CLETTERED"/>
      </w:pPr>
      <w:r w:rsidRPr="000F327C">
        <w:tab/>
        <w:t xml:space="preserve">Arkansas Medicaid, by statute, will only pay for a drug procedure billed with an NDC when the pharmaceutical labeler of that drug is a covered labeler with Centers for Medicare and Medicaid Services (CMS).  A “covered labeler” is a pharmaceutical manufacturer that has entered into a federal rebate agreement with CMS to provide each state a rebate for products reimbursed by Medicaid Programs.  A covered labeler is identified by the first five (5) digits of the NDC.  To assure a product is payable for administration to a Medicaid beneficiary, compare the labeler code (the first five (5) digits of the NDC) to the list of covered labelers which is maintained on the </w:t>
      </w:r>
      <w:hyperlink r:id="rId28" w:history="1">
        <w:r w:rsidRPr="000F327C">
          <w:rPr>
            <w:rStyle w:val="Hyperlink"/>
          </w:rPr>
          <w:t>DHS contracted Pharmacy vendor</w:t>
        </w:r>
      </w:hyperlink>
      <w:r w:rsidRPr="000F327C">
        <w:t xml:space="preserve"> website.</w:t>
      </w:r>
    </w:p>
    <w:p w14:paraId="6AF4C21B" w14:textId="77777777" w:rsidR="00EC680B" w:rsidRPr="000F327C" w:rsidRDefault="00EC680B" w:rsidP="00EC680B">
      <w:pPr>
        <w:pStyle w:val="CLETTERED"/>
        <w:tabs>
          <w:tab w:val="left" w:pos="900"/>
        </w:tabs>
        <w:rPr>
          <w:rFonts w:cs="Arial"/>
          <w:szCs w:val="21"/>
        </w:rPr>
      </w:pPr>
      <w:r w:rsidRPr="000F327C">
        <w:rPr>
          <w:rFonts w:cs="Arial"/>
          <w:szCs w:val="21"/>
        </w:rPr>
        <w:tab/>
        <w:t xml:space="preserve">A complete listing of </w:t>
      </w:r>
      <w:r w:rsidRPr="000F327C">
        <w:rPr>
          <w:rFonts w:cs="Arial"/>
          <w:b/>
          <w:szCs w:val="21"/>
        </w:rPr>
        <w:t>“Covered Labelers”</w:t>
      </w:r>
      <w:r w:rsidRPr="000F327C">
        <w:rPr>
          <w:rFonts w:cs="Arial"/>
          <w:b/>
          <w:color w:val="FF0000"/>
          <w:szCs w:val="21"/>
        </w:rPr>
        <w:t xml:space="preserve"> </w:t>
      </w:r>
      <w:r w:rsidRPr="000F327C">
        <w:rPr>
          <w:rFonts w:cs="Arial"/>
          <w:szCs w:val="21"/>
        </w:rPr>
        <w:t xml:space="preserve">is located on the website.  See Diagram 1 for an example of this screen.  The effective date is when a manufacturer entered into a rebate agreement with CMS.  The </w:t>
      </w:r>
      <w:r w:rsidRPr="000F327C">
        <w:rPr>
          <w:rFonts w:cs="Arial"/>
          <w:i/>
          <w:szCs w:val="21"/>
        </w:rPr>
        <w:t>Labeler termination date</w:t>
      </w:r>
      <w:r w:rsidRPr="000F327C">
        <w:rPr>
          <w:rFonts w:cs="Arial"/>
          <w:szCs w:val="21"/>
        </w:rPr>
        <w:t xml:space="preserve"> indicates that the manufacturer no longer participates in the federal rebate program and therefore </w:t>
      </w:r>
      <w:proofErr w:type="gramStart"/>
      <w:r w:rsidRPr="000F327C">
        <w:rPr>
          <w:rFonts w:cs="Arial"/>
          <w:szCs w:val="21"/>
        </w:rPr>
        <w:t>the products cannot be reimbursed by Arkansas Medicaid</w:t>
      </w:r>
      <w:proofErr w:type="gramEnd"/>
      <w:r w:rsidRPr="000F327C">
        <w:rPr>
          <w:rFonts w:cs="Arial"/>
          <w:szCs w:val="21"/>
        </w:rPr>
        <w:t xml:space="preserve"> on or after the </w:t>
      </w:r>
      <w:r w:rsidRPr="000F327C">
        <w:rPr>
          <w:rFonts w:cs="Arial"/>
          <w:i/>
          <w:szCs w:val="21"/>
        </w:rPr>
        <w:t>termination date</w:t>
      </w:r>
      <w:r w:rsidRPr="000F327C">
        <w:rPr>
          <w:rFonts w:cs="Arial"/>
          <w:szCs w:val="21"/>
        </w:rPr>
        <w:t xml:space="preserve">. </w:t>
      </w:r>
    </w:p>
    <w:p w14:paraId="4AC772FB" w14:textId="77777777" w:rsidR="00EC680B" w:rsidRPr="000F327C" w:rsidRDefault="00EC680B" w:rsidP="00EC680B">
      <w:pPr>
        <w:pStyle w:val="CLETTERED"/>
        <w:tabs>
          <w:tab w:val="left" w:pos="900"/>
        </w:tabs>
        <w:rPr>
          <w:rFonts w:cs="Arial"/>
          <w:i/>
          <w:szCs w:val="21"/>
        </w:rPr>
      </w:pPr>
      <w:r w:rsidRPr="000F327C">
        <w:rPr>
          <w:rFonts w:cs="Arial"/>
          <w:szCs w:val="21"/>
        </w:rPr>
        <w:tab/>
      </w:r>
      <w:r w:rsidRPr="000F327C">
        <w:rPr>
          <w:rFonts w:cs="Arial"/>
          <w:i/>
          <w:szCs w:val="21"/>
        </w:rPr>
        <w:t>Diagram 1</w:t>
      </w:r>
    </w:p>
    <w:p w14:paraId="6092D3AF" w14:textId="77777777" w:rsidR="00EC680B" w:rsidRPr="000F327C" w:rsidRDefault="00EC680B" w:rsidP="00EC680B">
      <w:pPr>
        <w:pStyle w:val="ctext"/>
      </w:pPr>
      <w:r w:rsidRPr="000F327C">
        <w:rPr>
          <w:noProof/>
        </w:rPr>
        <w:pict w14:anchorId="30424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1- Covered Labeler Example" style="width:437.25pt;height:200.25pt;visibility:visible">
            <v:imagedata r:id="rId29" r:href="rId30"/>
          </v:shape>
        </w:pict>
      </w:r>
    </w:p>
    <w:p w14:paraId="7BCFCBDE" w14:textId="77777777" w:rsidR="00EC680B" w:rsidRPr="000F327C" w:rsidRDefault="00EC680B" w:rsidP="00EC680B">
      <w:pPr>
        <w:pStyle w:val="ctablespace"/>
      </w:pPr>
    </w:p>
    <w:p w14:paraId="6DCD080B" w14:textId="77777777" w:rsidR="00EC680B" w:rsidRPr="000F327C" w:rsidRDefault="00EC680B" w:rsidP="00EC680B">
      <w:pPr>
        <w:pStyle w:val="CLETTERED"/>
        <w:tabs>
          <w:tab w:val="left" w:pos="900"/>
        </w:tabs>
        <w:rPr>
          <w:rFonts w:cs="Arial"/>
          <w:szCs w:val="21"/>
        </w:rPr>
      </w:pPr>
      <w:r w:rsidRPr="000F327C">
        <w:rPr>
          <w:rFonts w:cs="Arial"/>
          <w:szCs w:val="21"/>
        </w:rPr>
        <w:tab/>
        <w:t xml:space="preserve">For a claim with drug HCPCS/CPT codes to be eligible for payment, the detail date of service must be prior to the </w:t>
      </w:r>
      <w:r w:rsidRPr="000F327C">
        <w:rPr>
          <w:rFonts w:cs="Arial"/>
          <w:i/>
          <w:szCs w:val="21"/>
        </w:rPr>
        <w:t>NDC termination date</w:t>
      </w:r>
      <w:r w:rsidRPr="000F327C">
        <w:rPr>
          <w:rFonts w:cs="Arial"/>
          <w:szCs w:val="21"/>
        </w:rPr>
        <w:t xml:space="preserve">.  The NDC termination date represents the shelf-life expiration date of the last batch produced, as supplied on the Centers for Medicare and Medicaid Services (CMS) quarterly update.  The date is supplied to CMS by the drug manufacturer/distributor. </w:t>
      </w:r>
    </w:p>
    <w:p w14:paraId="6DBA8CB3" w14:textId="77777777" w:rsidR="00EC680B" w:rsidRPr="000F327C" w:rsidRDefault="00EC680B" w:rsidP="00EC680B">
      <w:pPr>
        <w:pStyle w:val="CLETTERED"/>
        <w:tabs>
          <w:tab w:val="left" w:pos="900"/>
        </w:tabs>
        <w:rPr>
          <w:rFonts w:cs="Arial"/>
          <w:szCs w:val="21"/>
        </w:rPr>
      </w:pPr>
      <w:r w:rsidRPr="000F327C">
        <w:rPr>
          <w:rFonts w:cs="Arial"/>
          <w:szCs w:val="21"/>
        </w:rPr>
        <w:tab/>
        <w:t xml:space="preserve">Arkansas Medicaid will deny claim details with drug HCPCS/CPT codes with a </w:t>
      </w:r>
      <w:proofErr w:type="gramStart"/>
      <w:r w:rsidRPr="000F327C">
        <w:rPr>
          <w:rFonts w:cs="Arial"/>
          <w:szCs w:val="21"/>
        </w:rPr>
        <w:t>detail</w:t>
      </w:r>
      <w:proofErr w:type="gramEnd"/>
      <w:r w:rsidRPr="000F327C">
        <w:rPr>
          <w:rFonts w:cs="Arial"/>
          <w:szCs w:val="21"/>
        </w:rPr>
        <w:t xml:space="preserve"> date of service equal to or greater than the NDC termination date. </w:t>
      </w:r>
    </w:p>
    <w:p w14:paraId="28B48EDD" w14:textId="77777777" w:rsidR="00EC680B" w:rsidRPr="000F327C" w:rsidRDefault="00EC680B" w:rsidP="00EC680B">
      <w:pPr>
        <w:pStyle w:val="CLETTERED"/>
        <w:tabs>
          <w:tab w:val="left" w:pos="900"/>
        </w:tabs>
        <w:rPr>
          <w:rFonts w:cs="Arial"/>
          <w:szCs w:val="21"/>
        </w:rPr>
      </w:pPr>
      <w:r w:rsidRPr="000F327C">
        <w:rPr>
          <w:rFonts w:cs="Arial"/>
          <w:szCs w:val="21"/>
          <w:lang w:val="en"/>
        </w:rPr>
        <w:tab/>
        <w:t>When completing a Medicaid claim for administering a drug, indicate the HIPAA standard 11-digit NDC with no dashes or spaces.  The 11-digit NDC is comprised of three (3) segments or codes</w:t>
      </w:r>
      <w:proofErr w:type="gramStart"/>
      <w:r w:rsidRPr="000F327C">
        <w:rPr>
          <w:rFonts w:cs="Arial"/>
          <w:szCs w:val="21"/>
          <w:lang w:val="en"/>
        </w:rPr>
        <w:t>:  a</w:t>
      </w:r>
      <w:proofErr w:type="gramEnd"/>
      <w:r w:rsidRPr="000F327C">
        <w:rPr>
          <w:rFonts w:cs="Arial"/>
          <w:szCs w:val="21"/>
          <w:lang w:val="en"/>
        </w:rPr>
        <w:t xml:space="preserve"> 5-digit labeler code, a 4-digit product code, and a 2-digit package code.  The 10-digit NDC assigned by the FDA printed on the drug package must be changed to the 11-digit format by inserting a leading zero (0) in one (1) of the three (3) segments.  Below are examples of the FDA assigned NDC on a package changed to the appropriate 11-digit HIPAA standard format.  Diagram 2 displays the labeler code as five (5) digits with leading zeros; the product code as four (4) digits with leading zeros; the package code as two (2) digits without leading zeros, using the “5-4-2” format. </w:t>
      </w:r>
    </w:p>
    <w:p w14:paraId="31D9740D" w14:textId="77777777" w:rsidR="00EC680B" w:rsidRPr="000F327C" w:rsidRDefault="00EC680B" w:rsidP="00EC680B">
      <w:pPr>
        <w:pStyle w:val="CLETTERED"/>
        <w:tabs>
          <w:tab w:val="left" w:pos="900"/>
        </w:tabs>
        <w:rPr>
          <w:rFonts w:cs="Arial"/>
          <w:i/>
          <w:szCs w:val="21"/>
        </w:rPr>
      </w:pPr>
      <w:r w:rsidRPr="000F327C">
        <w:rPr>
          <w:rFonts w:cs="Arial"/>
          <w:i/>
          <w:szCs w:val="21"/>
        </w:rPr>
        <w:tab/>
        <w:t>Diagram 2</w:t>
      </w:r>
    </w:p>
    <w:p w14:paraId="7E45E04C" w14:textId="77777777" w:rsidR="00EC680B" w:rsidRPr="000F327C" w:rsidRDefault="00EC680B" w:rsidP="00EC680B">
      <w:pPr>
        <w:pStyle w:val="ctablespace"/>
      </w:pPr>
    </w:p>
    <w:tbl>
      <w:tblPr>
        <w:tblW w:w="3583"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208"/>
        <w:gridCol w:w="1255"/>
        <w:gridCol w:w="1267"/>
      </w:tblGrid>
      <w:tr w:rsidR="00EC680B" w:rsidRPr="000F327C" w14:paraId="05277F15" w14:textId="77777777" w:rsidTr="003B669E">
        <w:trPr>
          <w:trHeight w:val="255"/>
          <w:jc w:val="center"/>
        </w:trPr>
        <w:tc>
          <w:tcPr>
            <w:tcW w:w="1161" w:type="dxa"/>
            <w:tcBorders>
              <w:top w:val="double" w:sz="6" w:space="0" w:color="auto"/>
              <w:left w:val="double" w:sz="6" w:space="0" w:color="auto"/>
              <w:bottom w:val="single" w:sz="4" w:space="0" w:color="auto"/>
              <w:right w:val="single" w:sz="4" w:space="0" w:color="auto"/>
            </w:tcBorders>
            <w:noWrap/>
            <w:vAlign w:val="bottom"/>
            <w:hideMark/>
          </w:tcPr>
          <w:p w14:paraId="59BAD20C" w14:textId="77777777" w:rsidR="00EC680B" w:rsidRPr="000F327C" w:rsidRDefault="00EC680B" w:rsidP="003B669E">
            <w:pPr>
              <w:jc w:val="center"/>
              <w:rPr>
                <w:rFonts w:cs="Arial"/>
                <w:b/>
                <w:bCs/>
                <w:sz w:val="21"/>
                <w:szCs w:val="21"/>
              </w:rPr>
            </w:pPr>
            <w:r w:rsidRPr="000F327C">
              <w:rPr>
                <w:rFonts w:cs="Arial"/>
                <w:b/>
                <w:bCs/>
                <w:sz w:val="21"/>
                <w:szCs w:val="21"/>
              </w:rPr>
              <w:t>00123</w:t>
            </w:r>
          </w:p>
        </w:tc>
        <w:tc>
          <w:tcPr>
            <w:tcW w:w="1205" w:type="dxa"/>
            <w:tcBorders>
              <w:top w:val="double" w:sz="6" w:space="0" w:color="auto"/>
              <w:left w:val="single" w:sz="4" w:space="0" w:color="auto"/>
              <w:bottom w:val="single" w:sz="4" w:space="0" w:color="auto"/>
              <w:right w:val="single" w:sz="4" w:space="0" w:color="auto"/>
            </w:tcBorders>
            <w:noWrap/>
            <w:vAlign w:val="bottom"/>
            <w:hideMark/>
          </w:tcPr>
          <w:p w14:paraId="6F18FBBC" w14:textId="77777777" w:rsidR="00EC680B" w:rsidRPr="000F327C" w:rsidRDefault="00EC680B" w:rsidP="003B669E">
            <w:pPr>
              <w:jc w:val="center"/>
              <w:rPr>
                <w:rFonts w:cs="Arial"/>
                <w:b/>
                <w:bCs/>
                <w:sz w:val="21"/>
                <w:szCs w:val="21"/>
              </w:rPr>
            </w:pPr>
            <w:r w:rsidRPr="000F327C">
              <w:rPr>
                <w:rFonts w:cs="Arial"/>
                <w:b/>
                <w:bCs/>
                <w:sz w:val="21"/>
                <w:szCs w:val="21"/>
              </w:rPr>
              <w:t>0456</w:t>
            </w:r>
          </w:p>
        </w:tc>
        <w:tc>
          <w:tcPr>
            <w:tcW w:w="1217" w:type="dxa"/>
            <w:tcBorders>
              <w:top w:val="double" w:sz="6" w:space="0" w:color="auto"/>
              <w:left w:val="single" w:sz="4" w:space="0" w:color="auto"/>
              <w:bottom w:val="single" w:sz="4" w:space="0" w:color="auto"/>
              <w:right w:val="double" w:sz="6" w:space="0" w:color="auto"/>
            </w:tcBorders>
            <w:noWrap/>
            <w:vAlign w:val="bottom"/>
            <w:hideMark/>
          </w:tcPr>
          <w:p w14:paraId="2C7E5249" w14:textId="77777777" w:rsidR="00EC680B" w:rsidRPr="000F327C" w:rsidRDefault="00EC680B" w:rsidP="003B669E">
            <w:pPr>
              <w:jc w:val="center"/>
              <w:rPr>
                <w:rFonts w:cs="Arial"/>
                <w:b/>
                <w:bCs/>
                <w:sz w:val="21"/>
                <w:szCs w:val="21"/>
              </w:rPr>
            </w:pPr>
            <w:r w:rsidRPr="000F327C">
              <w:rPr>
                <w:rFonts w:cs="Arial"/>
                <w:b/>
                <w:bCs/>
                <w:sz w:val="21"/>
                <w:szCs w:val="21"/>
              </w:rPr>
              <w:t>78</w:t>
            </w:r>
          </w:p>
        </w:tc>
      </w:tr>
      <w:tr w:rsidR="00EC680B" w:rsidRPr="000F327C" w14:paraId="2193E6CB" w14:textId="77777777" w:rsidTr="003B669E">
        <w:trPr>
          <w:trHeight w:val="480"/>
          <w:jc w:val="center"/>
        </w:trPr>
        <w:tc>
          <w:tcPr>
            <w:tcW w:w="1161" w:type="dxa"/>
            <w:tcBorders>
              <w:top w:val="single" w:sz="4" w:space="0" w:color="auto"/>
              <w:left w:val="double" w:sz="6" w:space="0" w:color="auto"/>
              <w:bottom w:val="double" w:sz="6" w:space="0" w:color="auto"/>
              <w:right w:val="single" w:sz="4" w:space="0" w:color="auto"/>
            </w:tcBorders>
            <w:vAlign w:val="bottom"/>
            <w:hideMark/>
          </w:tcPr>
          <w:p w14:paraId="574303D2" w14:textId="77777777" w:rsidR="00EC680B" w:rsidRPr="000F327C" w:rsidRDefault="00EC680B" w:rsidP="003B669E">
            <w:pPr>
              <w:jc w:val="center"/>
              <w:rPr>
                <w:rFonts w:cs="Arial"/>
                <w:b/>
                <w:bCs/>
                <w:sz w:val="21"/>
                <w:szCs w:val="21"/>
              </w:rPr>
            </w:pPr>
            <w:r w:rsidRPr="000F327C">
              <w:rPr>
                <w:rFonts w:cs="Arial"/>
                <w:b/>
                <w:bCs/>
                <w:sz w:val="21"/>
                <w:szCs w:val="21"/>
              </w:rPr>
              <w:t>LABELER CODE</w:t>
            </w:r>
          </w:p>
          <w:p w14:paraId="40F67C29" w14:textId="77777777" w:rsidR="00EC680B" w:rsidRPr="000F327C" w:rsidRDefault="00EC680B" w:rsidP="003B669E">
            <w:pPr>
              <w:jc w:val="center"/>
              <w:rPr>
                <w:rFonts w:cs="Arial"/>
                <w:b/>
                <w:bCs/>
                <w:sz w:val="21"/>
                <w:szCs w:val="21"/>
              </w:rPr>
            </w:pPr>
            <w:r w:rsidRPr="000F327C">
              <w:rPr>
                <w:rFonts w:cs="Arial"/>
                <w:b/>
                <w:bCs/>
                <w:sz w:val="21"/>
                <w:szCs w:val="21"/>
              </w:rPr>
              <w:t>(5 digits)</w:t>
            </w:r>
          </w:p>
        </w:tc>
        <w:tc>
          <w:tcPr>
            <w:tcW w:w="1205" w:type="dxa"/>
            <w:tcBorders>
              <w:top w:val="single" w:sz="4" w:space="0" w:color="auto"/>
              <w:left w:val="single" w:sz="4" w:space="0" w:color="auto"/>
              <w:bottom w:val="double" w:sz="6" w:space="0" w:color="auto"/>
              <w:right w:val="single" w:sz="4" w:space="0" w:color="auto"/>
            </w:tcBorders>
            <w:vAlign w:val="bottom"/>
            <w:hideMark/>
          </w:tcPr>
          <w:p w14:paraId="4B0607D0" w14:textId="77777777" w:rsidR="00EC680B" w:rsidRPr="000F327C" w:rsidRDefault="00EC680B" w:rsidP="003B669E">
            <w:pPr>
              <w:jc w:val="center"/>
              <w:rPr>
                <w:rFonts w:cs="Arial"/>
                <w:b/>
                <w:bCs/>
                <w:sz w:val="21"/>
                <w:szCs w:val="21"/>
              </w:rPr>
            </w:pPr>
            <w:r w:rsidRPr="000F327C">
              <w:rPr>
                <w:rFonts w:cs="Arial"/>
                <w:b/>
                <w:bCs/>
                <w:sz w:val="21"/>
                <w:szCs w:val="21"/>
              </w:rPr>
              <w:t>PRODUCT CODE</w:t>
            </w:r>
          </w:p>
          <w:p w14:paraId="41668503" w14:textId="77777777" w:rsidR="00EC680B" w:rsidRPr="000F327C" w:rsidRDefault="00EC680B" w:rsidP="003B669E">
            <w:pPr>
              <w:jc w:val="center"/>
              <w:rPr>
                <w:rFonts w:cs="Arial"/>
                <w:b/>
                <w:bCs/>
                <w:sz w:val="21"/>
                <w:szCs w:val="21"/>
              </w:rPr>
            </w:pPr>
            <w:r w:rsidRPr="000F327C">
              <w:rPr>
                <w:rFonts w:cs="Arial"/>
                <w:b/>
                <w:bCs/>
                <w:sz w:val="21"/>
                <w:szCs w:val="21"/>
              </w:rPr>
              <w:t>(4 digits)</w:t>
            </w:r>
          </w:p>
        </w:tc>
        <w:tc>
          <w:tcPr>
            <w:tcW w:w="1217" w:type="dxa"/>
            <w:tcBorders>
              <w:top w:val="single" w:sz="4" w:space="0" w:color="auto"/>
              <w:left w:val="single" w:sz="4" w:space="0" w:color="auto"/>
              <w:bottom w:val="double" w:sz="6" w:space="0" w:color="auto"/>
              <w:right w:val="double" w:sz="6" w:space="0" w:color="auto"/>
            </w:tcBorders>
            <w:vAlign w:val="bottom"/>
            <w:hideMark/>
          </w:tcPr>
          <w:p w14:paraId="1509A4C0" w14:textId="77777777" w:rsidR="00EC680B" w:rsidRPr="000F327C" w:rsidRDefault="00EC680B" w:rsidP="003B669E">
            <w:pPr>
              <w:jc w:val="center"/>
              <w:rPr>
                <w:rFonts w:cs="Arial"/>
                <w:b/>
                <w:bCs/>
                <w:sz w:val="21"/>
                <w:szCs w:val="21"/>
              </w:rPr>
            </w:pPr>
            <w:r w:rsidRPr="000F327C">
              <w:rPr>
                <w:rFonts w:cs="Arial"/>
                <w:b/>
                <w:bCs/>
                <w:sz w:val="21"/>
                <w:szCs w:val="21"/>
              </w:rPr>
              <w:t>PACKAGE CODE</w:t>
            </w:r>
          </w:p>
          <w:p w14:paraId="2E02195E" w14:textId="77777777" w:rsidR="00EC680B" w:rsidRPr="000F327C" w:rsidRDefault="00EC680B" w:rsidP="003B669E">
            <w:pPr>
              <w:jc w:val="center"/>
              <w:rPr>
                <w:rFonts w:cs="Arial"/>
                <w:b/>
                <w:bCs/>
                <w:sz w:val="21"/>
                <w:szCs w:val="21"/>
              </w:rPr>
            </w:pPr>
            <w:r w:rsidRPr="000F327C">
              <w:rPr>
                <w:rFonts w:cs="Arial"/>
                <w:b/>
                <w:bCs/>
                <w:sz w:val="21"/>
                <w:szCs w:val="21"/>
              </w:rPr>
              <w:t>(2 digits)</w:t>
            </w:r>
          </w:p>
        </w:tc>
      </w:tr>
    </w:tbl>
    <w:p w14:paraId="4209C3B3" w14:textId="77777777" w:rsidR="00EC680B" w:rsidRPr="000F327C" w:rsidRDefault="00EC680B" w:rsidP="00EC680B">
      <w:pPr>
        <w:pStyle w:val="ctablespace"/>
        <w:rPr>
          <w:lang w:val="en"/>
        </w:rPr>
      </w:pPr>
    </w:p>
    <w:p w14:paraId="0BA58E96" w14:textId="77777777" w:rsidR="00EC680B" w:rsidRPr="000F327C" w:rsidRDefault="00EC680B" w:rsidP="00EC680B">
      <w:pPr>
        <w:pStyle w:val="CLETTERED"/>
        <w:tabs>
          <w:tab w:val="left" w:pos="900"/>
        </w:tabs>
        <w:rPr>
          <w:rFonts w:cs="Arial"/>
          <w:szCs w:val="21"/>
          <w:lang w:val="en"/>
        </w:rPr>
      </w:pPr>
      <w:r w:rsidRPr="000F327C">
        <w:rPr>
          <w:rFonts w:cs="Arial"/>
          <w:szCs w:val="21"/>
          <w:lang w:val="en"/>
        </w:rPr>
        <w:tab/>
        <w:t>NDCs submitted in any configuration other than the 11-digit format will be rejected/denied.  NDCs billed to Medicaid for payment must use the 11-digit format without dashes or spaces between the numbers.</w:t>
      </w:r>
    </w:p>
    <w:p w14:paraId="695BBAD3" w14:textId="77777777" w:rsidR="00EC680B" w:rsidRPr="000F327C" w:rsidRDefault="00EC680B" w:rsidP="00EC680B">
      <w:pPr>
        <w:pStyle w:val="CLETTERED"/>
        <w:tabs>
          <w:tab w:val="left" w:pos="900"/>
        </w:tabs>
        <w:rPr>
          <w:rFonts w:cs="Arial"/>
          <w:szCs w:val="21"/>
        </w:rPr>
      </w:pPr>
      <w:r w:rsidRPr="000F327C">
        <w:rPr>
          <w:rFonts w:cs="Arial"/>
          <w:szCs w:val="21"/>
        </w:rPr>
        <w:tab/>
        <w:t>See Diagram 3 for sample NDCs as they might appear on drug packaging and the corresponding format which should be used for billing Arkansas Medicaid:</w:t>
      </w:r>
    </w:p>
    <w:p w14:paraId="7F1B228A" w14:textId="77777777" w:rsidR="00EC680B" w:rsidRPr="000F327C" w:rsidRDefault="00EC680B" w:rsidP="00EC680B">
      <w:pPr>
        <w:pStyle w:val="CLETTERED"/>
        <w:tabs>
          <w:tab w:val="left" w:pos="900"/>
        </w:tabs>
        <w:rPr>
          <w:rFonts w:cs="Arial"/>
          <w:i/>
          <w:szCs w:val="21"/>
        </w:rPr>
      </w:pPr>
      <w:r w:rsidRPr="000F327C">
        <w:rPr>
          <w:rFonts w:cs="Arial"/>
          <w:szCs w:val="21"/>
        </w:rPr>
        <w:tab/>
      </w:r>
      <w:r w:rsidRPr="000F327C">
        <w:rPr>
          <w:rFonts w:cs="Arial"/>
          <w:i/>
          <w:szCs w:val="21"/>
        </w:rPr>
        <w:t>Diagram 3</w:t>
      </w:r>
    </w:p>
    <w:p w14:paraId="4F090BEE" w14:textId="77777777" w:rsidR="00EC680B" w:rsidRPr="000F327C" w:rsidRDefault="00EC680B" w:rsidP="00EC680B">
      <w:pPr>
        <w:pStyle w:val="ctablespace"/>
      </w:pPr>
    </w:p>
    <w:tbl>
      <w:tblPr>
        <w:tblW w:w="6480" w:type="dxa"/>
        <w:tblInd w:w="154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240"/>
        <w:gridCol w:w="3240"/>
      </w:tblGrid>
      <w:tr w:rsidR="00EC680B" w:rsidRPr="000F327C" w14:paraId="504368D3" w14:textId="77777777" w:rsidTr="003B669E">
        <w:tc>
          <w:tcPr>
            <w:tcW w:w="3240" w:type="dxa"/>
            <w:tcBorders>
              <w:top w:val="double" w:sz="6" w:space="0" w:color="auto"/>
              <w:left w:val="double" w:sz="6" w:space="0" w:color="auto"/>
              <w:bottom w:val="single" w:sz="4" w:space="0" w:color="auto"/>
              <w:right w:val="single" w:sz="4" w:space="0" w:color="auto"/>
            </w:tcBorders>
            <w:hideMark/>
          </w:tcPr>
          <w:p w14:paraId="291B96C8" w14:textId="77777777" w:rsidR="00EC680B" w:rsidRPr="000F327C" w:rsidRDefault="00EC680B" w:rsidP="003B669E">
            <w:pPr>
              <w:jc w:val="center"/>
              <w:rPr>
                <w:rFonts w:cs="Arial"/>
                <w:color w:val="000000"/>
                <w:sz w:val="21"/>
                <w:szCs w:val="21"/>
                <w:lang w:val="fr-FR"/>
              </w:rPr>
            </w:pPr>
            <w:r w:rsidRPr="000F327C">
              <w:rPr>
                <w:rFonts w:cs="Arial"/>
                <w:b/>
                <w:bCs/>
                <w:sz w:val="21"/>
                <w:szCs w:val="21"/>
                <w:lang w:val="fr-FR"/>
              </w:rPr>
              <w:t>10-digit FDA NDC on PACKAGE</w:t>
            </w:r>
          </w:p>
        </w:tc>
        <w:tc>
          <w:tcPr>
            <w:tcW w:w="3240" w:type="dxa"/>
            <w:tcBorders>
              <w:top w:val="double" w:sz="6" w:space="0" w:color="auto"/>
              <w:left w:val="single" w:sz="4" w:space="0" w:color="auto"/>
              <w:bottom w:val="single" w:sz="4" w:space="0" w:color="auto"/>
              <w:right w:val="double" w:sz="6" w:space="0" w:color="auto"/>
            </w:tcBorders>
            <w:hideMark/>
          </w:tcPr>
          <w:p w14:paraId="22745106" w14:textId="77777777" w:rsidR="00EC680B" w:rsidRPr="000F327C" w:rsidRDefault="00EC680B" w:rsidP="003B669E">
            <w:pPr>
              <w:jc w:val="center"/>
              <w:rPr>
                <w:rFonts w:cs="Arial"/>
                <w:color w:val="000000"/>
                <w:sz w:val="21"/>
                <w:szCs w:val="21"/>
                <w:lang w:val="en"/>
              </w:rPr>
            </w:pPr>
            <w:r w:rsidRPr="000F327C">
              <w:rPr>
                <w:rFonts w:cs="Arial"/>
                <w:b/>
                <w:bCs/>
                <w:sz w:val="21"/>
                <w:szCs w:val="21"/>
                <w:lang w:val="en"/>
              </w:rPr>
              <w:t>Required 11-digit NDC</w:t>
            </w:r>
          </w:p>
          <w:p w14:paraId="635508E7" w14:textId="77777777" w:rsidR="00EC680B" w:rsidRPr="000F327C" w:rsidRDefault="00EC680B" w:rsidP="003B669E">
            <w:pPr>
              <w:jc w:val="center"/>
              <w:rPr>
                <w:rFonts w:cs="Arial"/>
                <w:color w:val="000000"/>
                <w:sz w:val="21"/>
                <w:szCs w:val="21"/>
                <w:lang w:val="en"/>
              </w:rPr>
            </w:pPr>
            <w:r w:rsidRPr="000F327C">
              <w:rPr>
                <w:rFonts w:cs="Arial"/>
                <w:b/>
                <w:bCs/>
                <w:sz w:val="21"/>
                <w:szCs w:val="21"/>
                <w:lang w:val="en"/>
              </w:rPr>
              <w:t>(5-4-2) Billing Format</w:t>
            </w:r>
          </w:p>
        </w:tc>
      </w:tr>
      <w:tr w:rsidR="00EC680B" w:rsidRPr="000F327C" w14:paraId="1E4592ED" w14:textId="77777777" w:rsidTr="003B669E">
        <w:tc>
          <w:tcPr>
            <w:tcW w:w="3240" w:type="dxa"/>
            <w:tcBorders>
              <w:top w:val="single" w:sz="4" w:space="0" w:color="auto"/>
              <w:left w:val="double" w:sz="6" w:space="0" w:color="auto"/>
              <w:bottom w:val="single" w:sz="4" w:space="0" w:color="auto"/>
              <w:right w:val="single" w:sz="4" w:space="0" w:color="auto"/>
            </w:tcBorders>
            <w:hideMark/>
          </w:tcPr>
          <w:p w14:paraId="45193780" w14:textId="77777777" w:rsidR="00EC680B" w:rsidRPr="000F327C" w:rsidRDefault="00EC680B" w:rsidP="003B669E">
            <w:pPr>
              <w:jc w:val="center"/>
              <w:rPr>
                <w:rFonts w:cs="Arial"/>
                <w:color w:val="000000"/>
                <w:sz w:val="21"/>
                <w:szCs w:val="21"/>
                <w:lang w:val="en"/>
              </w:rPr>
            </w:pPr>
            <w:proofErr w:type="gramStart"/>
            <w:r w:rsidRPr="000F327C">
              <w:rPr>
                <w:rFonts w:cs="Arial"/>
                <w:sz w:val="21"/>
                <w:szCs w:val="21"/>
                <w:lang w:val="en"/>
              </w:rPr>
              <w:t>12345  6789</w:t>
            </w:r>
            <w:proofErr w:type="gramEnd"/>
            <w:r w:rsidRPr="000F327C">
              <w:rPr>
                <w:rFonts w:cs="Arial"/>
                <w:sz w:val="21"/>
                <w:szCs w:val="21"/>
                <w:lang w:val="en"/>
              </w:rPr>
              <w:t xml:space="preserve">  1</w:t>
            </w:r>
          </w:p>
        </w:tc>
        <w:tc>
          <w:tcPr>
            <w:tcW w:w="3240" w:type="dxa"/>
            <w:tcBorders>
              <w:top w:val="single" w:sz="4" w:space="0" w:color="auto"/>
              <w:left w:val="single" w:sz="4" w:space="0" w:color="auto"/>
              <w:bottom w:val="single" w:sz="4" w:space="0" w:color="auto"/>
              <w:right w:val="double" w:sz="6" w:space="0" w:color="auto"/>
            </w:tcBorders>
            <w:vAlign w:val="bottom"/>
            <w:hideMark/>
          </w:tcPr>
          <w:p w14:paraId="737302F6" w14:textId="77777777" w:rsidR="00EC680B" w:rsidRPr="000F327C" w:rsidRDefault="00EC680B" w:rsidP="003B669E">
            <w:pPr>
              <w:jc w:val="center"/>
              <w:rPr>
                <w:rFonts w:cs="Arial"/>
                <w:color w:val="000000"/>
                <w:sz w:val="21"/>
                <w:szCs w:val="21"/>
                <w:lang w:val="en"/>
              </w:rPr>
            </w:pPr>
            <w:r w:rsidRPr="000F327C">
              <w:rPr>
                <w:rFonts w:cs="Arial"/>
                <w:sz w:val="21"/>
                <w:szCs w:val="21"/>
                <w:lang w:val="en"/>
              </w:rPr>
              <w:t>123456789</w:t>
            </w:r>
            <w:r w:rsidRPr="000F327C">
              <w:rPr>
                <w:rFonts w:cs="Arial"/>
                <w:b/>
                <w:bCs/>
                <w:color w:val="000000"/>
                <w:sz w:val="21"/>
                <w:szCs w:val="21"/>
              </w:rPr>
              <w:t>0</w:t>
            </w:r>
            <w:r w:rsidRPr="000F327C">
              <w:rPr>
                <w:rFonts w:cs="Arial"/>
                <w:sz w:val="21"/>
                <w:szCs w:val="21"/>
              </w:rPr>
              <w:t>1</w:t>
            </w:r>
          </w:p>
        </w:tc>
      </w:tr>
      <w:tr w:rsidR="00EC680B" w:rsidRPr="000F327C" w14:paraId="33143EC6" w14:textId="77777777" w:rsidTr="003B669E">
        <w:tc>
          <w:tcPr>
            <w:tcW w:w="3240" w:type="dxa"/>
            <w:tcBorders>
              <w:top w:val="single" w:sz="4" w:space="0" w:color="auto"/>
              <w:left w:val="double" w:sz="6" w:space="0" w:color="auto"/>
              <w:bottom w:val="single" w:sz="4" w:space="0" w:color="auto"/>
              <w:right w:val="single" w:sz="4" w:space="0" w:color="auto"/>
            </w:tcBorders>
            <w:hideMark/>
          </w:tcPr>
          <w:p w14:paraId="6E2255CD" w14:textId="77777777" w:rsidR="00EC680B" w:rsidRPr="000F327C" w:rsidRDefault="00EC680B" w:rsidP="003B669E">
            <w:pPr>
              <w:jc w:val="center"/>
              <w:rPr>
                <w:rFonts w:cs="Arial"/>
                <w:color w:val="000000"/>
                <w:sz w:val="21"/>
                <w:szCs w:val="21"/>
                <w:lang w:val="en"/>
              </w:rPr>
            </w:pPr>
            <w:r w:rsidRPr="000F327C">
              <w:rPr>
                <w:rFonts w:cs="Arial"/>
                <w:sz w:val="21"/>
                <w:szCs w:val="21"/>
                <w:lang w:val="en"/>
              </w:rPr>
              <w:lastRenderedPageBreak/>
              <w:t>1111-2222-33</w:t>
            </w:r>
          </w:p>
        </w:tc>
        <w:tc>
          <w:tcPr>
            <w:tcW w:w="3240" w:type="dxa"/>
            <w:tcBorders>
              <w:top w:val="single" w:sz="4" w:space="0" w:color="auto"/>
              <w:left w:val="single" w:sz="4" w:space="0" w:color="auto"/>
              <w:bottom w:val="single" w:sz="4" w:space="0" w:color="auto"/>
              <w:right w:val="double" w:sz="6" w:space="0" w:color="auto"/>
            </w:tcBorders>
            <w:vAlign w:val="bottom"/>
            <w:hideMark/>
          </w:tcPr>
          <w:p w14:paraId="36429328" w14:textId="77777777" w:rsidR="00EC680B" w:rsidRPr="000F327C" w:rsidRDefault="00EC680B" w:rsidP="003B669E">
            <w:pPr>
              <w:jc w:val="center"/>
              <w:rPr>
                <w:rFonts w:cs="Arial"/>
                <w:color w:val="000000"/>
                <w:sz w:val="21"/>
                <w:szCs w:val="21"/>
                <w:lang w:val="en"/>
              </w:rPr>
            </w:pPr>
            <w:r w:rsidRPr="000F327C">
              <w:rPr>
                <w:rFonts w:cs="Arial"/>
                <w:b/>
                <w:bCs/>
                <w:color w:val="000000"/>
                <w:sz w:val="21"/>
                <w:szCs w:val="21"/>
              </w:rPr>
              <w:t>0</w:t>
            </w:r>
            <w:r w:rsidRPr="000F327C">
              <w:rPr>
                <w:rFonts w:cs="Arial"/>
                <w:sz w:val="21"/>
                <w:szCs w:val="21"/>
                <w:lang w:val="en"/>
              </w:rPr>
              <w:t>1111222233</w:t>
            </w:r>
          </w:p>
        </w:tc>
      </w:tr>
      <w:tr w:rsidR="00EC680B" w:rsidRPr="000F327C" w14:paraId="3BFF2ED6" w14:textId="77777777" w:rsidTr="003B669E">
        <w:tc>
          <w:tcPr>
            <w:tcW w:w="3240" w:type="dxa"/>
            <w:tcBorders>
              <w:top w:val="single" w:sz="4" w:space="0" w:color="auto"/>
              <w:left w:val="double" w:sz="6" w:space="0" w:color="auto"/>
              <w:bottom w:val="double" w:sz="6" w:space="0" w:color="auto"/>
              <w:right w:val="single" w:sz="4" w:space="0" w:color="auto"/>
            </w:tcBorders>
            <w:hideMark/>
          </w:tcPr>
          <w:p w14:paraId="2AB8F238" w14:textId="77777777" w:rsidR="00EC680B" w:rsidRPr="000F327C" w:rsidRDefault="00EC680B" w:rsidP="003B669E">
            <w:pPr>
              <w:jc w:val="center"/>
              <w:rPr>
                <w:rFonts w:cs="Arial"/>
                <w:color w:val="000000"/>
                <w:sz w:val="21"/>
                <w:szCs w:val="21"/>
                <w:lang w:val="en"/>
              </w:rPr>
            </w:pPr>
            <w:proofErr w:type="gramStart"/>
            <w:r w:rsidRPr="000F327C">
              <w:rPr>
                <w:rFonts w:cs="Arial"/>
                <w:sz w:val="21"/>
                <w:szCs w:val="21"/>
                <w:lang w:val="en"/>
              </w:rPr>
              <w:t>01111  456</w:t>
            </w:r>
            <w:proofErr w:type="gramEnd"/>
            <w:r w:rsidRPr="000F327C">
              <w:rPr>
                <w:rFonts w:cs="Arial"/>
                <w:sz w:val="21"/>
                <w:szCs w:val="21"/>
                <w:lang w:val="en"/>
              </w:rPr>
              <w:t xml:space="preserve">  71</w:t>
            </w:r>
          </w:p>
        </w:tc>
        <w:tc>
          <w:tcPr>
            <w:tcW w:w="3240" w:type="dxa"/>
            <w:tcBorders>
              <w:top w:val="single" w:sz="4" w:space="0" w:color="auto"/>
              <w:left w:val="single" w:sz="4" w:space="0" w:color="auto"/>
              <w:bottom w:val="double" w:sz="6" w:space="0" w:color="auto"/>
              <w:right w:val="double" w:sz="6" w:space="0" w:color="auto"/>
            </w:tcBorders>
            <w:vAlign w:val="bottom"/>
            <w:hideMark/>
          </w:tcPr>
          <w:p w14:paraId="14312257" w14:textId="77777777" w:rsidR="00EC680B" w:rsidRPr="000F327C" w:rsidRDefault="00EC680B" w:rsidP="003B669E">
            <w:pPr>
              <w:jc w:val="center"/>
              <w:rPr>
                <w:rFonts w:cs="Arial"/>
                <w:color w:val="000000"/>
                <w:sz w:val="21"/>
                <w:szCs w:val="21"/>
                <w:lang w:val="en"/>
              </w:rPr>
            </w:pPr>
            <w:r w:rsidRPr="000F327C">
              <w:rPr>
                <w:rFonts w:cs="Arial"/>
                <w:sz w:val="21"/>
                <w:szCs w:val="21"/>
                <w:lang w:val="en"/>
              </w:rPr>
              <w:t>01111</w:t>
            </w:r>
            <w:r w:rsidRPr="000F327C">
              <w:rPr>
                <w:rFonts w:cs="Arial"/>
                <w:b/>
                <w:bCs/>
                <w:color w:val="000000"/>
                <w:sz w:val="21"/>
                <w:szCs w:val="21"/>
              </w:rPr>
              <w:t>0</w:t>
            </w:r>
            <w:r w:rsidRPr="000F327C">
              <w:rPr>
                <w:rFonts w:cs="Arial"/>
                <w:sz w:val="21"/>
                <w:szCs w:val="21"/>
              </w:rPr>
              <w:t>45671</w:t>
            </w:r>
          </w:p>
        </w:tc>
      </w:tr>
    </w:tbl>
    <w:p w14:paraId="47B4894E" w14:textId="77777777" w:rsidR="00EC680B" w:rsidRPr="000F327C" w:rsidRDefault="00EC680B" w:rsidP="00EC680B">
      <w:pPr>
        <w:pStyle w:val="ctablespace"/>
      </w:pPr>
    </w:p>
    <w:p w14:paraId="74044CB3" w14:textId="77777777" w:rsidR="00EC680B" w:rsidRPr="000F327C" w:rsidRDefault="00EC680B" w:rsidP="00EC680B">
      <w:pPr>
        <w:pStyle w:val="CLETTERED"/>
        <w:tabs>
          <w:tab w:val="left" w:pos="900"/>
        </w:tabs>
        <w:rPr>
          <w:rFonts w:cs="Arial"/>
          <w:szCs w:val="21"/>
        </w:rPr>
      </w:pPr>
      <w:r w:rsidRPr="000F327C">
        <w:rPr>
          <w:rFonts w:cs="Arial"/>
          <w:szCs w:val="21"/>
        </w:rPr>
        <w:t>B.</w:t>
      </w:r>
      <w:r w:rsidRPr="000F327C">
        <w:rPr>
          <w:rFonts w:cs="Arial"/>
          <w:szCs w:val="21"/>
        </w:rPr>
        <w:tab/>
        <w:t>Drug Procedure Code (HCPCS/CPT) to NDC Relationship and Billing Principles</w:t>
      </w:r>
    </w:p>
    <w:p w14:paraId="63FF6749" w14:textId="77777777" w:rsidR="00EC680B" w:rsidRPr="000F327C" w:rsidRDefault="00EC680B" w:rsidP="00EC680B">
      <w:pPr>
        <w:pStyle w:val="CLETTERED"/>
        <w:tabs>
          <w:tab w:val="left" w:pos="900"/>
        </w:tabs>
        <w:rPr>
          <w:rFonts w:cs="Arial"/>
          <w:szCs w:val="21"/>
        </w:rPr>
      </w:pPr>
      <w:r w:rsidRPr="000F327C">
        <w:rPr>
          <w:rFonts w:cs="Arial"/>
          <w:szCs w:val="21"/>
        </w:rPr>
        <w:tab/>
        <w:t xml:space="preserve">HCPCS/CPT codes and any modifiers will continue to be billed per the policy for each procedure code.  However, the NDC and NDC quantity of the administered drug is now also required for correct billing of drug HCPCS/CPT codes.  To maintain the integrity of the drug rebate program, it is important that the specific NDC from the package used at the time of the procedure be recorded for billing.  HCPCS/CPT codes submitted using invalid NDCs or NDCs that were unavailable on the date of service will be rejected/denied.  We encourage you to enlist the cooperation of all staff members involved in drug administration to </w:t>
      </w:r>
      <w:proofErr w:type="gramStart"/>
      <w:r w:rsidRPr="000F327C">
        <w:rPr>
          <w:rFonts w:cs="Arial"/>
          <w:szCs w:val="21"/>
        </w:rPr>
        <w:t>assure</w:t>
      </w:r>
      <w:proofErr w:type="gramEnd"/>
      <w:r w:rsidRPr="000F327C">
        <w:rPr>
          <w:rFonts w:cs="Arial"/>
          <w:szCs w:val="21"/>
        </w:rPr>
        <w:t xml:space="preserve"> collection or notation of the NDC from the actual package used.  It is not recommended that billing of NDCs be based on a reference list, as NDCs vary from one (1) labeler to another, from one (1) package size to another, and from one (1) </w:t>
      </w:r>
      <w:proofErr w:type="gramStart"/>
      <w:r w:rsidRPr="000F327C">
        <w:rPr>
          <w:rFonts w:cs="Arial"/>
          <w:szCs w:val="21"/>
        </w:rPr>
        <w:t>time period</w:t>
      </w:r>
      <w:proofErr w:type="gramEnd"/>
      <w:r w:rsidRPr="000F327C">
        <w:rPr>
          <w:rFonts w:cs="Arial"/>
          <w:szCs w:val="21"/>
        </w:rPr>
        <w:t xml:space="preserve"> to another.</w:t>
      </w:r>
    </w:p>
    <w:p w14:paraId="582A49E3" w14:textId="77777777" w:rsidR="00EC680B" w:rsidRPr="000F327C" w:rsidRDefault="00EC680B" w:rsidP="00EC680B">
      <w:pPr>
        <w:pStyle w:val="CLETTERED"/>
        <w:tabs>
          <w:tab w:val="left" w:pos="900"/>
        </w:tabs>
        <w:rPr>
          <w:rFonts w:cs="Arial"/>
          <w:szCs w:val="21"/>
        </w:rPr>
      </w:pPr>
      <w:r w:rsidRPr="000F327C">
        <w:rPr>
          <w:rFonts w:cs="Arial"/>
          <w:szCs w:val="21"/>
        </w:rPr>
        <w:tab/>
        <w:t>Exception:  There is no requirement for an NDC when billing for vaccines, radiopharmaceuticals, and allergen immunotherapy.</w:t>
      </w:r>
    </w:p>
    <w:p w14:paraId="696178A8" w14:textId="77777777" w:rsidR="00EC680B" w:rsidRPr="000F327C" w:rsidRDefault="00EC680B" w:rsidP="00EC680B">
      <w:pPr>
        <w:pStyle w:val="ctext"/>
        <w:rPr>
          <w:rFonts w:cs="Arial"/>
          <w:b/>
          <w:szCs w:val="21"/>
        </w:rPr>
      </w:pPr>
      <w:r w:rsidRPr="000F327C">
        <w:rPr>
          <w:rFonts w:cs="Arial"/>
          <w:b/>
          <w:szCs w:val="21"/>
        </w:rPr>
        <w:t>I.  Claims Filing</w:t>
      </w:r>
    </w:p>
    <w:p w14:paraId="5B5EB426" w14:textId="77777777" w:rsidR="00EC680B" w:rsidRPr="000F327C" w:rsidRDefault="00EC680B" w:rsidP="00EC680B">
      <w:pPr>
        <w:pStyle w:val="ctext"/>
        <w:rPr>
          <w:rFonts w:cs="Arial"/>
          <w:szCs w:val="21"/>
        </w:rPr>
      </w:pPr>
      <w:r w:rsidRPr="000F327C">
        <w:rPr>
          <w:rFonts w:cs="Arial"/>
          <w:szCs w:val="21"/>
        </w:rPr>
        <w:t>The HCPCS/CPT codes billing units and the NDC quantity do not always have a one-to-one relationship.</w:t>
      </w:r>
    </w:p>
    <w:p w14:paraId="5B31FDF4" w14:textId="77777777" w:rsidR="00EC680B" w:rsidRPr="000F327C" w:rsidRDefault="00EC680B" w:rsidP="00EC680B">
      <w:pPr>
        <w:pStyle w:val="ctext"/>
        <w:rPr>
          <w:rFonts w:cs="Arial"/>
          <w:szCs w:val="21"/>
        </w:rPr>
      </w:pPr>
      <w:r w:rsidRPr="000F327C">
        <w:rPr>
          <w:rFonts w:cs="Arial"/>
          <w:szCs w:val="21"/>
        </w:rPr>
        <w:t>Example 1</w:t>
      </w:r>
      <w:proofErr w:type="gramStart"/>
      <w:r w:rsidRPr="000F327C">
        <w:rPr>
          <w:rFonts w:cs="Arial"/>
          <w:szCs w:val="21"/>
        </w:rPr>
        <w:t>:  The</w:t>
      </w:r>
      <w:proofErr w:type="gramEnd"/>
      <w:r w:rsidRPr="000F327C">
        <w:rPr>
          <w:rFonts w:cs="Arial"/>
          <w:szCs w:val="21"/>
        </w:rPr>
        <w:t xml:space="preserve"> HCPCS/CPT code may specify up to 75 mg of the drug whereas the NDC quantity is typically billed in units, </w:t>
      </w:r>
      <w:proofErr w:type="gramStart"/>
      <w:r w:rsidRPr="000F327C">
        <w:rPr>
          <w:rFonts w:cs="Arial"/>
          <w:szCs w:val="21"/>
        </w:rPr>
        <w:t>milliliters</w:t>
      </w:r>
      <w:proofErr w:type="gramEnd"/>
      <w:r w:rsidRPr="000F327C">
        <w:rPr>
          <w:rFonts w:cs="Arial"/>
          <w:szCs w:val="21"/>
        </w:rPr>
        <w:t xml:space="preserve"> or grams.  If the patient is </w:t>
      </w:r>
      <w:proofErr w:type="gramStart"/>
      <w:r w:rsidRPr="000F327C">
        <w:rPr>
          <w:rFonts w:cs="Arial"/>
          <w:szCs w:val="21"/>
        </w:rPr>
        <w:t>provided</w:t>
      </w:r>
      <w:proofErr w:type="gramEnd"/>
      <w:r w:rsidRPr="000F327C">
        <w:rPr>
          <w:rFonts w:cs="Arial"/>
          <w:szCs w:val="21"/>
        </w:rPr>
        <w:t xml:space="preserve"> 2 oral tablets, one at 25 mg and one at 50 mg, the HCPCS/CPT code unit would be 1 (1 total of 75 mg) in the example whereas the NDC quantity would be 1 each (1 unit of the 25 mg tablet and 1 unit of the 50 mg tablet).  See Diagram 4.</w:t>
      </w:r>
    </w:p>
    <w:p w14:paraId="27E865EA" w14:textId="77777777" w:rsidR="00EC680B" w:rsidRPr="000F327C" w:rsidRDefault="00EC680B" w:rsidP="00EC680B">
      <w:pPr>
        <w:pStyle w:val="ctext"/>
        <w:rPr>
          <w:rFonts w:cs="Arial"/>
          <w:i/>
          <w:szCs w:val="21"/>
        </w:rPr>
      </w:pPr>
      <w:r w:rsidRPr="000F327C">
        <w:rPr>
          <w:rFonts w:cs="Arial"/>
          <w:i/>
          <w:szCs w:val="21"/>
        </w:rPr>
        <w:t>Diagram 4</w:t>
      </w:r>
    </w:p>
    <w:p w14:paraId="199A878B" w14:textId="77777777" w:rsidR="00EC680B" w:rsidRPr="000F327C" w:rsidRDefault="00EC680B" w:rsidP="00EC680B">
      <w:pPr>
        <w:pStyle w:val="ctext"/>
        <w:rPr>
          <w:noProof/>
        </w:rPr>
      </w:pPr>
      <w:r w:rsidRPr="000F327C">
        <w:rPr>
          <w:noProof/>
        </w:rPr>
        <w:pict w14:anchorId="7AC2F155">
          <v:shape id="Picture 5" o:spid="_x0000_i1026" type="#_x0000_t75" alt="Diagram 4 - 25mg and 50mg tablets = 75 mg dose = 1 unit of Drug" style="width:468pt;height:115.5pt;visibility:visible">
            <v:imagedata r:id="rId31" o:title="" croptop="17449f" cropbottom="34324f" cropleft="11305f" cropright="12104f"/>
          </v:shape>
        </w:pict>
      </w:r>
    </w:p>
    <w:p w14:paraId="584EA88D" w14:textId="77777777" w:rsidR="00EC680B" w:rsidRPr="000F327C" w:rsidRDefault="00EC680B" w:rsidP="00EC680B">
      <w:pPr>
        <w:pStyle w:val="ctablespace"/>
      </w:pPr>
    </w:p>
    <w:p w14:paraId="5CA506E2" w14:textId="77777777" w:rsidR="00EC680B" w:rsidRPr="000F327C" w:rsidRDefault="00EC680B" w:rsidP="00EC680B">
      <w:pPr>
        <w:pStyle w:val="ctext"/>
        <w:rPr>
          <w:rFonts w:cs="Arial"/>
          <w:szCs w:val="21"/>
        </w:rPr>
      </w:pPr>
      <w:r w:rsidRPr="000F327C">
        <w:rPr>
          <w:rFonts w:cs="Arial"/>
          <w:szCs w:val="21"/>
        </w:rPr>
        <w:t>Example 2</w:t>
      </w:r>
      <w:proofErr w:type="gramStart"/>
      <w:r w:rsidRPr="000F327C">
        <w:rPr>
          <w:rFonts w:cs="Arial"/>
          <w:szCs w:val="21"/>
        </w:rPr>
        <w:t>:  If</w:t>
      </w:r>
      <w:proofErr w:type="gramEnd"/>
      <w:r w:rsidRPr="000F327C">
        <w:rPr>
          <w:rFonts w:cs="Arial"/>
          <w:szCs w:val="21"/>
        </w:rPr>
        <w:t xml:space="preserve"> the drug in the example is an injection of 5 ml (or cc) of a product that was 50 mg per 10 ml of a 10 ml single-use vial, the HCPCS/CPT code unit would be 1 (1 unit of 25 mg) whereas the NDC quantity would be 5 (5 ml).  In this example, 5 ml or 25 mg would be documented as wasted.  See Diagram 5. For billing wastage, see bullets A (Electronic Claims Filing) and B (Paper Claims Filing) below.</w:t>
      </w:r>
    </w:p>
    <w:p w14:paraId="4205E7E4" w14:textId="77777777" w:rsidR="00EC680B" w:rsidRPr="000F327C" w:rsidRDefault="00EC680B" w:rsidP="00EC680B">
      <w:pPr>
        <w:pStyle w:val="ctext"/>
        <w:rPr>
          <w:rFonts w:cs="Arial"/>
          <w:i/>
          <w:szCs w:val="21"/>
        </w:rPr>
      </w:pPr>
      <w:r w:rsidRPr="000F327C">
        <w:rPr>
          <w:rFonts w:cs="Arial"/>
          <w:i/>
          <w:szCs w:val="21"/>
        </w:rPr>
        <w:t>Diagram 5</w:t>
      </w:r>
    </w:p>
    <w:p w14:paraId="779DDCDB" w14:textId="77777777" w:rsidR="00EC680B" w:rsidRPr="000F327C" w:rsidRDefault="00EC680B" w:rsidP="00EC680B">
      <w:pPr>
        <w:pStyle w:val="ctext"/>
        <w:rPr>
          <w:noProof/>
        </w:rPr>
      </w:pPr>
      <w:r w:rsidRPr="000F327C">
        <w:rPr>
          <w:noProof/>
        </w:rPr>
        <w:lastRenderedPageBreak/>
        <w:pict w14:anchorId="23B13268">
          <v:shape id="Picture 4" o:spid="_x0000_i1027" type="#_x0000_t75" alt="Diagram 5 - Documenting Waste" style="width:467.25pt;height:152.25pt;visibility:visible">
            <v:imagedata r:id="rId32" o:title="" croptop="17121f" cropbottom="29409f" cropleft="13701f" cropright="8110f"/>
          </v:shape>
        </w:pict>
      </w:r>
    </w:p>
    <w:p w14:paraId="7E2EC540" w14:textId="77777777" w:rsidR="00EC680B" w:rsidRPr="000F327C" w:rsidRDefault="00EC680B" w:rsidP="00EC680B">
      <w:pPr>
        <w:pStyle w:val="ctablespace"/>
      </w:pPr>
    </w:p>
    <w:p w14:paraId="635226A7" w14:textId="77777777" w:rsidR="00EC680B" w:rsidRPr="000F327C" w:rsidRDefault="00EC680B" w:rsidP="00EC680B">
      <w:pPr>
        <w:pStyle w:val="CLETTERED"/>
        <w:tabs>
          <w:tab w:val="left" w:pos="900"/>
        </w:tabs>
        <w:rPr>
          <w:rFonts w:cs="Arial"/>
          <w:szCs w:val="21"/>
        </w:rPr>
      </w:pPr>
      <w:r w:rsidRPr="000F327C">
        <w:rPr>
          <w:rFonts w:cs="Arial"/>
          <w:szCs w:val="21"/>
        </w:rPr>
        <w:t>A.</w:t>
      </w:r>
      <w:r w:rsidRPr="000F327C">
        <w:rPr>
          <w:rFonts w:cs="Arial"/>
          <w:szCs w:val="21"/>
        </w:rPr>
        <w:tab/>
        <w:t xml:space="preserve">Electronic Claims Filing – 837P (Professional) and 837I (Outpatient) </w:t>
      </w:r>
    </w:p>
    <w:p w14:paraId="61A1BEFD" w14:textId="77777777" w:rsidR="00EC680B" w:rsidRPr="000F327C" w:rsidRDefault="00EC680B" w:rsidP="00EC680B">
      <w:pPr>
        <w:pStyle w:val="cnumbered"/>
      </w:pPr>
      <w:r w:rsidRPr="000F327C">
        <w:t>Providers are instructed to bill as follows:</w:t>
      </w:r>
    </w:p>
    <w:p w14:paraId="1528E673" w14:textId="77777777" w:rsidR="00EC680B" w:rsidRPr="000F327C" w:rsidRDefault="00EC680B" w:rsidP="00EC680B">
      <w:pPr>
        <w:pStyle w:val="cnumbered"/>
        <w:numPr>
          <w:ilvl w:val="0"/>
          <w:numId w:val="9"/>
        </w:numPr>
        <w:ind w:left="1260"/>
      </w:pPr>
      <w:r w:rsidRPr="000F327C">
        <w:t>1 NDC for a procedure – 1st/only detail shall be billed with no modifier</w:t>
      </w:r>
    </w:p>
    <w:p w14:paraId="5D1D8AE3" w14:textId="77777777" w:rsidR="00EC680B" w:rsidRPr="000F327C" w:rsidRDefault="00EC680B" w:rsidP="00EC680B">
      <w:pPr>
        <w:pStyle w:val="cnumbered"/>
        <w:numPr>
          <w:ilvl w:val="0"/>
          <w:numId w:val="9"/>
        </w:numPr>
        <w:ind w:left="1260"/>
      </w:pPr>
      <w:r w:rsidRPr="000F327C">
        <w:t xml:space="preserve">2 NDCs for same procedure – 1st detail shall be billed with a </w:t>
      </w:r>
      <w:proofErr w:type="gramStart"/>
      <w:r w:rsidRPr="000F327C">
        <w:t>KP</w:t>
      </w:r>
      <w:proofErr w:type="gramEnd"/>
      <w:r w:rsidRPr="000F327C">
        <w:t xml:space="preserve"> and 2nd gets billed with a KQ modifier</w:t>
      </w:r>
    </w:p>
    <w:p w14:paraId="516620BF" w14:textId="77777777" w:rsidR="00EC680B" w:rsidRPr="000F327C" w:rsidRDefault="00EC680B" w:rsidP="00EC680B">
      <w:pPr>
        <w:pStyle w:val="cnumbered"/>
        <w:numPr>
          <w:ilvl w:val="0"/>
          <w:numId w:val="9"/>
        </w:numPr>
        <w:ind w:left="1260"/>
      </w:pPr>
      <w:r w:rsidRPr="000F327C">
        <w:t xml:space="preserve">3 NDCs for same procedure – 1st detail shall be billed with a </w:t>
      </w:r>
      <w:proofErr w:type="gramStart"/>
      <w:r w:rsidRPr="000F327C">
        <w:t>KP</w:t>
      </w:r>
      <w:proofErr w:type="gramEnd"/>
      <w:r w:rsidRPr="000F327C">
        <w:t xml:space="preserve"> and 2nd &amp; 3rd detail get billed with a KQ modifier</w:t>
      </w:r>
    </w:p>
    <w:p w14:paraId="56032A02" w14:textId="77777777" w:rsidR="00EC680B" w:rsidRPr="000F327C" w:rsidRDefault="00EC680B" w:rsidP="00EC680B">
      <w:pPr>
        <w:pStyle w:val="cnumbered"/>
        <w:numPr>
          <w:ilvl w:val="0"/>
          <w:numId w:val="9"/>
        </w:numPr>
        <w:ind w:left="1260"/>
      </w:pPr>
      <w:r w:rsidRPr="000F327C">
        <w:t>4 or more NDCs for same procedure – submit via paper claim</w:t>
      </w:r>
    </w:p>
    <w:p w14:paraId="526F7AC6" w14:textId="77777777" w:rsidR="00EC680B" w:rsidRPr="000F327C" w:rsidRDefault="00EC680B" w:rsidP="00EC680B">
      <w:pPr>
        <w:pStyle w:val="cnumbered"/>
        <w:numPr>
          <w:ilvl w:val="0"/>
          <w:numId w:val="9"/>
        </w:numPr>
        <w:ind w:left="1260"/>
      </w:pPr>
      <w:r w:rsidRPr="000F327C">
        <w:t xml:space="preserve">Wastage of each NDC shall be billed on a separate line with a JW modifier. </w:t>
      </w:r>
    </w:p>
    <w:p w14:paraId="19C5D4ED" w14:textId="77777777" w:rsidR="00EC680B" w:rsidRPr="000F327C" w:rsidRDefault="00EC680B" w:rsidP="00EC680B">
      <w:pPr>
        <w:pStyle w:val="Note"/>
      </w:pPr>
      <w:r w:rsidRPr="000F327C">
        <w:t>NOTE:</w:t>
      </w:r>
      <w:r w:rsidRPr="000F327C">
        <w:tab/>
        <w:t>The NDCs listed above are not the same (unless with a JW modifier). Same NDCs shall be billed on a single line with appropriate units.</w:t>
      </w:r>
    </w:p>
    <w:p w14:paraId="55863727" w14:textId="77777777" w:rsidR="00EC680B" w:rsidRPr="000F327C" w:rsidRDefault="00EC680B" w:rsidP="00EC680B">
      <w:pPr>
        <w:pStyle w:val="CLETTERED"/>
        <w:rPr>
          <w:b/>
          <w:bCs/>
        </w:rPr>
      </w:pPr>
      <w:r w:rsidRPr="000F327C">
        <w:rPr>
          <w:b/>
          <w:bCs/>
        </w:rPr>
        <w:t>NOTE: CMS definitions of modifiers:</w:t>
      </w:r>
    </w:p>
    <w:p w14:paraId="18FEAFB5" w14:textId="77777777" w:rsidR="00EC680B" w:rsidRPr="000F327C" w:rsidRDefault="00EC680B" w:rsidP="00EC680B">
      <w:pPr>
        <w:pStyle w:val="CLETTERED"/>
        <w:numPr>
          <w:ilvl w:val="0"/>
          <w:numId w:val="10"/>
        </w:numPr>
        <w:ind w:left="720"/>
      </w:pPr>
      <w:r w:rsidRPr="000F327C">
        <w:t>KP = First drug of a multiple drug unit dose formulation</w:t>
      </w:r>
    </w:p>
    <w:p w14:paraId="7DA772BD" w14:textId="77777777" w:rsidR="00EC680B" w:rsidRPr="000F327C" w:rsidRDefault="00EC680B" w:rsidP="00EC680B">
      <w:pPr>
        <w:pStyle w:val="CLETTERED"/>
        <w:numPr>
          <w:ilvl w:val="0"/>
          <w:numId w:val="10"/>
        </w:numPr>
        <w:ind w:left="720"/>
      </w:pPr>
      <w:r w:rsidRPr="000F327C">
        <w:t xml:space="preserve">KQ = Second or subsequent drug of a multiple drug unit dose formulation </w:t>
      </w:r>
    </w:p>
    <w:p w14:paraId="1BE9C183" w14:textId="77777777" w:rsidR="00EC680B" w:rsidRPr="000F327C" w:rsidRDefault="00EC680B" w:rsidP="00EC680B">
      <w:pPr>
        <w:pStyle w:val="CLETTERED"/>
        <w:numPr>
          <w:ilvl w:val="0"/>
          <w:numId w:val="10"/>
        </w:numPr>
        <w:ind w:left="720"/>
      </w:pPr>
      <w:r w:rsidRPr="000F327C">
        <w:t>JW = Drug wastage</w:t>
      </w:r>
    </w:p>
    <w:p w14:paraId="71B17403" w14:textId="77777777" w:rsidR="00EC680B" w:rsidRPr="000F327C" w:rsidRDefault="00EC680B" w:rsidP="00EC680B">
      <w:pPr>
        <w:pStyle w:val="CLETTERED"/>
        <w:tabs>
          <w:tab w:val="left" w:pos="900"/>
        </w:tabs>
        <w:rPr>
          <w:rFonts w:cs="Arial"/>
          <w:szCs w:val="21"/>
        </w:rPr>
      </w:pPr>
      <w:r w:rsidRPr="000F327C">
        <w:rPr>
          <w:rFonts w:cs="Arial"/>
          <w:szCs w:val="21"/>
        </w:rPr>
        <w:t>B.</w:t>
      </w:r>
      <w:r w:rsidRPr="000F327C">
        <w:rPr>
          <w:rFonts w:cs="Arial"/>
          <w:szCs w:val="21"/>
        </w:rPr>
        <w:tab/>
        <w:t>Paper Claims Filing – CMS-1500</w:t>
      </w:r>
    </w:p>
    <w:p w14:paraId="3FBC847C" w14:textId="77777777" w:rsidR="00EC680B" w:rsidRPr="000F327C" w:rsidRDefault="00EC680B" w:rsidP="00EC680B">
      <w:pPr>
        <w:pStyle w:val="cnumbered"/>
      </w:pPr>
      <w:r w:rsidRPr="000F327C">
        <w:t>Providers are instructed to bill as follows:</w:t>
      </w:r>
    </w:p>
    <w:p w14:paraId="3E336A61" w14:textId="77777777" w:rsidR="00EC680B" w:rsidRPr="000F327C" w:rsidRDefault="00EC680B" w:rsidP="00EC680B">
      <w:pPr>
        <w:pStyle w:val="cnumbered"/>
        <w:numPr>
          <w:ilvl w:val="0"/>
          <w:numId w:val="11"/>
        </w:numPr>
        <w:ind w:left="1260"/>
      </w:pPr>
      <w:r w:rsidRPr="000F327C">
        <w:t>1 NDC for a procedure – 1st/only detail shall be billed with no modifier</w:t>
      </w:r>
    </w:p>
    <w:p w14:paraId="5584E334" w14:textId="77777777" w:rsidR="00EC680B" w:rsidRPr="000F327C" w:rsidRDefault="00EC680B" w:rsidP="00EC680B">
      <w:pPr>
        <w:pStyle w:val="cnumbered"/>
        <w:numPr>
          <w:ilvl w:val="0"/>
          <w:numId w:val="11"/>
        </w:numPr>
        <w:ind w:left="1260"/>
      </w:pPr>
      <w:r w:rsidRPr="000F327C">
        <w:t xml:space="preserve">2 NDCs for same procedure – 1st detail shall be billed with a </w:t>
      </w:r>
      <w:proofErr w:type="gramStart"/>
      <w:r w:rsidRPr="000F327C">
        <w:t>KP</w:t>
      </w:r>
      <w:proofErr w:type="gramEnd"/>
      <w:r w:rsidRPr="000F327C">
        <w:t xml:space="preserve"> and 2nd gets billed with a KQ modifier</w:t>
      </w:r>
    </w:p>
    <w:p w14:paraId="660D252B" w14:textId="77777777" w:rsidR="00EC680B" w:rsidRPr="000F327C" w:rsidRDefault="00EC680B" w:rsidP="00EC680B">
      <w:pPr>
        <w:pStyle w:val="cnumbered"/>
        <w:numPr>
          <w:ilvl w:val="0"/>
          <w:numId w:val="11"/>
        </w:numPr>
        <w:ind w:left="1260"/>
      </w:pPr>
      <w:r w:rsidRPr="000F327C">
        <w:t xml:space="preserve">3 NDCs for same procedure – 1st detail shall be billed with a </w:t>
      </w:r>
      <w:proofErr w:type="gramStart"/>
      <w:r w:rsidRPr="000F327C">
        <w:t>KP</w:t>
      </w:r>
      <w:proofErr w:type="gramEnd"/>
      <w:r w:rsidRPr="000F327C">
        <w:t xml:space="preserve"> and 2nd &amp; 3rd detail get billed with a KQ modifier</w:t>
      </w:r>
    </w:p>
    <w:p w14:paraId="2157D650" w14:textId="77777777" w:rsidR="00EC680B" w:rsidRPr="000F327C" w:rsidRDefault="00EC680B" w:rsidP="00EC680B">
      <w:pPr>
        <w:pStyle w:val="cnumbered"/>
        <w:numPr>
          <w:ilvl w:val="0"/>
          <w:numId w:val="11"/>
        </w:numPr>
        <w:ind w:left="1260"/>
      </w:pPr>
      <w:r w:rsidRPr="000F327C">
        <w:t xml:space="preserve">4 or more NDCs for same procedure – 1st detail shall be billed with a </w:t>
      </w:r>
      <w:proofErr w:type="gramStart"/>
      <w:r w:rsidRPr="000F327C">
        <w:t>KP</w:t>
      </w:r>
      <w:proofErr w:type="gramEnd"/>
      <w:r w:rsidRPr="000F327C">
        <w:t xml:space="preserve"> and 2nd and subsequent details shall be billed with a KQ modifier</w:t>
      </w:r>
    </w:p>
    <w:p w14:paraId="41C57FEC" w14:textId="77777777" w:rsidR="00EC680B" w:rsidRPr="000F327C" w:rsidRDefault="00EC680B" w:rsidP="00EC680B">
      <w:pPr>
        <w:pStyle w:val="cnumbered"/>
        <w:numPr>
          <w:ilvl w:val="0"/>
          <w:numId w:val="11"/>
        </w:numPr>
        <w:ind w:left="1260"/>
      </w:pPr>
      <w:r w:rsidRPr="000F327C">
        <w:t>Wastage of each NDC shall be billed on a separate line with a JW modifier.</w:t>
      </w:r>
    </w:p>
    <w:p w14:paraId="50C957CD" w14:textId="77777777" w:rsidR="00EC680B" w:rsidRPr="000F327C" w:rsidRDefault="00EC680B" w:rsidP="00EC680B">
      <w:pPr>
        <w:pStyle w:val="CLETTERED"/>
        <w:rPr>
          <w:b/>
          <w:bCs/>
        </w:rPr>
      </w:pPr>
      <w:r w:rsidRPr="000F327C">
        <w:rPr>
          <w:b/>
          <w:bCs/>
        </w:rPr>
        <w:t>NOTE:</w:t>
      </w:r>
      <w:r w:rsidRPr="000F327C">
        <w:rPr>
          <w:b/>
          <w:bCs/>
        </w:rPr>
        <w:tab/>
        <w:t>CMS definitions of modifiers:</w:t>
      </w:r>
    </w:p>
    <w:p w14:paraId="573A2FDC" w14:textId="77777777" w:rsidR="00EC680B" w:rsidRPr="000F327C" w:rsidRDefault="00EC680B" w:rsidP="00EC680B">
      <w:pPr>
        <w:pStyle w:val="CLETTERED"/>
        <w:numPr>
          <w:ilvl w:val="0"/>
          <w:numId w:val="12"/>
        </w:numPr>
        <w:ind w:left="720"/>
      </w:pPr>
      <w:r w:rsidRPr="000F327C">
        <w:t>KP = First drug of a multiple drug unit dose formulation</w:t>
      </w:r>
    </w:p>
    <w:p w14:paraId="6E4AE356" w14:textId="77777777" w:rsidR="00EC680B" w:rsidRPr="000F327C" w:rsidRDefault="00EC680B" w:rsidP="00EC680B">
      <w:pPr>
        <w:pStyle w:val="CLETTERED"/>
        <w:numPr>
          <w:ilvl w:val="0"/>
          <w:numId w:val="12"/>
        </w:numPr>
        <w:ind w:left="720"/>
      </w:pPr>
      <w:r w:rsidRPr="000F327C">
        <w:t xml:space="preserve">KQ = Second or subsequent drug of a multiple drug unit dose formulation </w:t>
      </w:r>
    </w:p>
    <w:p w14:paraId="4A0040F8" w14:textId="77777777" w:rsidR="00EC680B" w:rsidRPr="000F327C" w:rsidRDefault="00EC680B" w:rsidP="00EC680B">
      <w:pPr>
        <w:pStyle w:val="CLETTERED"/>
        <w:numPr>
          <w:ilvl w:val="0"/>
          <w:numId w:val="12"/>
        </w:numPr>
        <w:ind w:left="720"/>
      </w:pPr>
      <w:r w:rsidRPr="000F327C">
        <w:lastRenderedPageBreak/>
        <w:t>JW = Drug wastage</w:t>
      </w:r>
    </w:p>
    <w:p w14:paraId="06C94523" w14:textId="77777777" w:rsidR="00EC680B" w:rsidRPr="000F327C" w:rsidRDefault="00EC680B" w:rsidP="00EC680B">
      <w:pPr>
        <w:pStyle w:val="CLETTERED"/>
        <w:tabs>
          <w:tab w:val="left" w:pos="900"/>
        </w:tabs>
        <w:rPr>
          <w:rFonts w:cs="Arial"/>
          <w:i/>
          <w:szCs w:val="21"/>
        </w:rPr>
      </w:pPr>
      <w:r w:rsidRPr="000F327C">
        <w:rPr>
          <w:rFonts w:cs="Arial"/>
          <w:i/>
          <w:szCs w:val="21"/>
        </w:rPr>
        <w:tab/>
        <w:t>Diagram 6</w:t>
      </w:r>
    </w:p>
    <w:p w14:paraId="726DF76D" w14:textId="77777777" w:rsidR="00EC680B" w:rsidRPr="000F327C" w:rsidRDefault="00EC680B" w:rsidP="00EC680B">
      <w:pPr>
        <w:pStyle w:val="ctext"/>
        <w:rPr>
          <w:noProof/>
        </w:rPr>
      </w:pPr>
      <w:r w:rsidRPr="000F327C">
        <w:rPr>
          <w:noProof/>
        </w:rPr>
        <w:pict w14:anchorId="5FE7823E">
          <v:shape id="Picture 77" o:spid="_x0000_i1028" type="#_x0000_t75" alt="Diagram 6- Paper Claim Billing Example for Same Drug, Multiple NDCs on Same Date of Service" style="width:395.25pt;height:125.25pt;visibility:visible">
            <v:imagedata r:id="rId33" o:title=""/>
          </v:shape>
        </w:pict>
      </w:r>
    </w:p>
    <w:p w14:paraId="7FB9F4C6" w14:textId="77777777" w:rsidR="00EC680B" w:rsidRPr="000F327C" w:rsidRDefault="00EC680B" w:rsidP="00EC680B">
      <w:pPr>
        <w:pStyle w:val="ctablespace"/>
      </w:pPr>
    </w:p>
    <w:p w14:paraId="1BF04A97" w14:textId="77777777" w:rsidR="00EC680B" w:rsidRPr="000F327C" w:rsidRDefault="00EC680B" w:rsidP="00EC680B">
      <w:pPr>
        <w:pStyle w:val="ctext"/>
        <w:rPr>
          <w:rFonts w:cs="Arial"/>
          <w:b/>
          <w:szCs w:val="21"/>
        </w:rPr>
      </w:pPr>
      <w:r w:rsidRPr="000F327C">
        <w:rPr>
          <w:rFonts w:cs="Arial"/>
          <w:b/>
          <w:szCs w:val="21"/>
        </w:rPr>
        <w:t>II</w:t>
      </w:r>
      <w:proofErr w:type="gramStart"/>
      <w:r w:rsidRPr="000F327C">
        <w:rPr>
          <w:rFonts w:cs="Arial"/>
          <w:b/>
          <w:szCs w:val="21"/>
        </w:rPr>
        <w:t>.  Adjustments</w:t>
      </w:r>
      <w:proofErr w:type="gramEnd"/>
    </w:p>
    <w:p w14:paraId="6C6A43AB" w14:textId="77777777" w:rsidR="00EC680B" w:rsidRPr="000F327C" w:rsidRDefault="00EC680B" w:rsidP="00EC680B">
      <w:pPr>
        <w:pStyle w:val="ctext"/>
        <w:rPr>
          <w:rFonts w:cs="Arial"/>
          <w:szCs w:val="21"/>
        </w:rPr>
      </w:pPr>
      <w:r w:rsidRPr="000F327C">
        <w:rPr>
          <w:rFonts w:cs="Arial"/>
          <w:szCs w:val="21"/>
        </w:rPr>
        <w:t xml:space="preserve">Paper adjustments for paid claims filed with NDC numbers will not be accepted.  Any original claim will have to be </w:t>
      </w:r>
      <w:proofErr w:type="gramStart"/>
      <w:r w:rsidRPr="000F327C">
        <w:rPr>
          <w:rFonts w:cs="Arial"/>
          <w:szCs w:val="21"/>
        </w:rPr>
        <w:t>voided</w:t>
      </w:r>
      <w:proofErr w:type="gramEnd"/>
      <w:r w:rsidRPr="000F327C">
        <w:rPr>
          <w:rFonts w:cs="Arial"/>
          <w:szCs w:val="21"/>
        </w:rPr>
        <w:t xml:space="preserve"> and a replacement claim will need to be filed.  Providers have the option of adjusting </w:t>
      </w:r>
      <w:proofErr w:type="gramStart"/>
      <w:r w:rsidRPr="000F327C">
        <w:rPr>
          <w:rFonts w:cs="Arial"/>
          <w:szCs w:val="21"/>
        </w:rPr>
        <w:t>a paper</w:t>
      </w:r>
      <w:proofErr w:type="gramEnd"/>
      <w:r w:rsidRPr="000F327C">
        <w:rPr>
          <w:rFonts w:cs="Arial"/>
          <w:szCs w:val="21"/>
        </w:rPr>
        <w:t xml:space="preserve"> or electronic </w:t>
      </w:r>
      <w:proofErr w:type="gramStart"/>
      <w:r w:rsidRPr="000F327C">
        <w:rPr>
          <w:rFonts w:cs="Arial"/>
          <w:szCs w:val="21"/>
        </w:rPr>
        <w:t>claim</w:t>
      </w:r>
      <w:proofErr w:type="gramEnd"/>
      <w:r w:rsidRPr="000F327C">
        <w:rPr>
          <w:rFonts w:cs="Arial"/>
          <w:szCs w:val="21"/>
        </w:rPr>
        <w:t xml:space="preserve"> electronically.</w:t>
      </w:r>
    </w:p>
    <w:p w14:paraId="43B2D588" w14:textId="77777777" w:rsidR="00EC680B" w:rsidRPr="000F327C" w:rsidRDefault="00EC680B" w:rsidP="00EC680B">
      <w:pPr>
        <w:pStyle w:val="ctext"/>
        <w:rPr>
          <w:rFonts w:cs="Arial"/>
          <w:b/>
          <w:szCs w:val="21"/>
        </w:rPr>
      </w:pPr>
      <w:r w:rsidRPr="000F327C">
        <w:rPr>
          <w:rFonts w:cs="Arial"/>
          <w:b/>
          <w:szCs w:val="21"/>
        </w:rPr>
        <w:t>III</w:t>
      </w:r>
      <w:proofErr w:type="gramStart"/>
      <w:r w:rsidRPr="000F327C">
        <w:rPr>
          <w:rFonts w:cs="Arial"/>
          <w:b/>
          <w:szCs w:val="21"/>
        </w:rPr>
        <w:t>.  Record</w:t>
      </w:r>
      <w:proofErr w:type="gramEnd"/>
      <w:r w:rsidRPr="000F327C">
        <w:rPr>
          <w:rFonts w:cs="Arial"/>
          <w:b/>
          <w:szCs w:val="21"/>
        </w:rPr>
        <w:t xml:space="preserve"> Retention</w:t>
      </w:r>
    </w:p>
    <w:p w14:paraId="3EB69727" w14:textId="77777777" w:rsidR="00EC680B" w:rsidRPr="000F327C" w:rsidRDefault="00EC680B" w:rsidP="00EC680B">
      <w:pPr>
        <w:pStyle w:val="ctext"/>
        <w:rPr>
          <w:rFonts w:cs="Arial"/>
          <w:szCs w:val="21"/>
        </w:rPr>
      </w:pPr>
      <w:r w:rsidRPr="000F327C">
        <w:rPr>
          <w:rFonts w:cs="Arial"/>
          <w:szCs w:val="21"/>
        </w:rPr>
        <w:t xml:space="preserve">Each provider must retain all records for five (5) years from the date of service or until all audit questions, dispute or review issues, appeal hearings, </w:t>
      </w:r>
      <w:proofErr w:type="gramStart"/>
      <w:r w:rsidRPr="000F327C">
        <w:rPr>
          <w:rFonts w:cs="Arial"/>
          <w:szCs w:val="21"/>
        </w:rPr>
        <w:t>investigations</w:t>
      </w:r>
      <w:proofErr w:type="gramEnd"/>
      <w:r w:rsidRPr="000F327C">
        <w:rPr>
          <w:rFonts w:cs="Arial"/>
          <w:szCs w:val="21"/>
        </w:rPr>
        <w:t xml:space="preserve"> or administrative/judicial litigation to which the records may relate are concluded, whichever period is longer. </w:t>
      </w:r>
    </w:p>
    <w:p w14:paraId="7DD17759" w14:textId="77777777" w:rsidR="008759CD" w:rsidRPr="000F327C" w:rsidRDefault="00EC680B" w:rsidP="00EC680B">
      <w:pPr>
        <w:pStyle w:val="ctext"/>
      </w:pPr>
      <w:r w:rsidRPr="000F327C">
        <w:rPr>
          <w:rFonts w:cs="Arial"/>
          <w:szCs w:val="21"/>
        </w:rPr>
        <w:t xml:space="preserve">At times, a manufacturer may question the invoiced amount, which results in a drug rebate dispute.  If this occurs, you may be contacted requesting a copy of your office records to include documentation pertaining to the billed HCPCS/CPT code.  Requested records may include NDC invoices showing purchase of drugs and documentation showing what drug (name, </w:t>
      </w:r>
      <w:proofErr w:type="gramStart"/>
      <w:r w:rsidRPr="000F327C">
        <w:rPr>
          <w:rFonts w:cs="Arial"/>
          <w:szCs w:val="21"/>
        </w:rPr>
        <w:t>strength</w:t>
      </w:r>
      <w:proofErr w:type="gramEnd"/>
      <w:r w:rsidRPr="000F327C">
        <w:rPr>
          <w:rFonts w:cs="Arial"/>
          <w:szCs w:val="21"/>
        </w:rPr>
        <w:t xml:space="preserve"> and amount) was administered and on what date, to the beneficiary in question.</w:t>
      </w:r>
      <w:bookmarkEnd w:id="105"/>
    </w:p>
    <w:tbl>
      <w:tblPr>
        <w:tblW w:w="9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22"/>
        <w:gridCol w:w="1238"/>
      </w:tblGrid>
      <w:tr w:rsidR="007A681E" w:rsidRPr="000F327C" w14:paraId="18F0E1EA" w14:textId="77777777" w:rsidTr="002F57FA">
        <w:tc>
          <w:tcPr>
            <w:tcW w:w="8122" w:type="dxa"/>
            <w:tcBorders>
              <w:top w:val="single" w:sz="2" w:space="0" w:color="FFFFFF"/>
              <w:left w:val="single" w:sz="2" w:space="0" w:color="FFFFFF"/>
              <w:bottom w:val="single" w:sz="2" w:space="0" w:color="FFFFFF"/>
              <w:right w:val="single" w:sz="6" w:space="0" w:color="FFFFFF"/>
            </w:tcBorders>
          </w:tcPr>
          <w:p w14:paraId="67DC9CC5" w14:textId="77777777" w:rsidR="007A681E" w:rsidRPr="000F327C" w:rsidRDefault="007A681E" w:rsidP="002F57FA">
            <w:pPr>
              <w:pStyle w:val="chead2"/>
              <w:keepNext/>
            </w:pPr>
            <w:bookmarkStart w:id="106" w:name="_Toc199229761"/>
            <w:r w:rsidRPr="000F327C">
              <w:t>242.402</w:t>
            </w:r>
            <w:r w:rsidRPr="000F327C">
              <w:tab/>
            </w:r>
            <w:r w:rsidR="004C682B" w:rsidRPr="000F327C">
              <w:t>Billing of Multi-Use and Single-Use Vials</w:t>
            </w:r>
            <w:bookmarkEnd w:id="106"/>
          </w:p>
        </w:tc>
        <w:tc>
          <w:tcPr>
            <w:tcW w:w="1238" w:type="dxa"/>
            <w:tcBorders>
              <w:top w:val="single" w:sz="2" w:space="0" w:color="FFFFFF"/>
              <w:left w:val="single" w:sz="6" w:space="0" w:color="FFFFFF"/>
              <w:bottom w:val="single" w:sz="2" w:space="0" w:color="FFFFFF"/>
              <w:right w:val="single" w:sz="2" w:space="0" w:color="FFFFFF"/>
            </w:tcBorders>
          </w:tcPr>
          <w:p w14:paraId="1577331F" w14:textId="77777777" w:rsidR="007A681E" w:rsidRPr="000F327C" w:rsidRDefault="00EC680B" w:rsidP="002F57FA">
            <w:pPr>
              <w:pStyle w:val="cDate2"/>
              <w:keepNext/>
            </w:pPr>
            <w:r w:rsidRPr="000F327C">
              <w:t>1-1-23</w:t>
            </w:r>
          </w:p>
        </w:tc>
      </w:tr>
    </w:tbl>
    <w:p w14:paraId="6C178394" w14:textId="77777777" w:rsidR="00EC680B" w:rsidRPr="000F327C" w:rsidRDefault="00EC680B" w:rsidP="00EC680B">
      <w:pPr>
        <w:pStyle w:val="ctext"/>
        <w:rPr>
          <w:rFonts w:cs="Arial"/>
          <w:color w:val="003300"/>
          <w:szCs w:val="21"/>
        </w:rPr>
      </w:pPr>
      <w:r w:rsidRPr="000F327C">
        <w:t>Arkansas Medicaid follows the billing protocol per the Federal Deficit Reduction Act of 2005 for drugs.</w:t>
      </w:r>
    </w:p>
    <w:p w14:paraId="5D1FC019" w14:textId="77777777" w:rsidR="00EC680B" w:rsidRPr="000F327C" w:rsidRDefault="00EC680B" w:rsidP="00EC680B">
      <w:pPr>
        <w:pStyle w:val="CLETTERED"/>
      </w:pPr>
      <w:r w:rsidRPr="000F327C">
        <w:t>A.</w:t>
      </w:r>
      <w:r w:rsidRPr="000F327C">
        <w:tab/>
        <w:t>Multiple units may be billed when applicable.  Take-home drugs are not covered.  Drugs loaded into an infusion pump are not classified as “take-home drugs.”  Refer to payable CPT code ranges.</w:t>
      </w:r>
    </w:p>
    <w:p w14:paraId="26195853" w14:textId="77777777" w:rsidR="00EC680B" w:rsidRPr="000F327C" w:rsidRDefault="00EC680B" w:rsidP="00EC680B">
      <w:pPr>
        <w:pStyle w:val="ctext"/>
        <w:ind w:left="540" w:firstLine="360"/>
      </w:pPr>
      <w:hyperlink r:id="rId34" w:history="1">
        <w:r w:rsidRPr="000F327C">
          <w:rPr>
            <w:rStyle w:val="Hyperlink"/>
          </w:rPr>
          <w:t>View or print the procedure codes for Hyperalimentation services.</w:t>
        </w:r>
      </w:hyperlink>
    </w:p>
    <w:p w14:paraId="355E2871" w14:textId="77777777" w:rsidR="00EC680B" w:rsidRPr="000F327C" w:rsidRDefault="00EC680B" w:rsidP="00EC680B">
      <w:pPr>
        <w:pStyle w:val="CLETTERED"/>
        <w:rPr>
          <w:rFonts w:cs="Arial"/>
          <w:color w:val="003300"/>
          <w:szCs w:val="21"/>
        </w:rPr>
      </w:pPr>
      <w:r w:rsidRPr="000F327C">
        <w:t>B.</w:t>
      </w:r>
      <w:r w:rsidRPr="000F327C">
        <w:tab/>
        <w:t xml:space="preserve">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w:t>
      </w:r>
      <w:proofErr w:type="gramStart"/>
      <w:r w:rsidRPr="000F327C">
        <w:t>in order to</w:t>
      </w:r>
      <w:proofErr w:type="gramEnd"/>
      <w:r w:rsidRPr="000F327C">
        <w:t xml:space="preserve"> express the HCPCS description number as a multiple.</w:t>
      </w:r>
    </w:p>
    <w:p w14:paraId="78424B0B" w14:textId="77777777" w:rsidR="00EC680B" w:rsidRPr="000F327C" w:rsidRDefault="00EC680B" w:rsidP="00EC680B">
      <w:pPr>
        <w:pStyle w:val="cnumbered"/>
      </w:pPr>
      <w:r w:rsidRPr="000F327C">
        <w:rPr>
          <w:bCs/>
        </w:rPr>
        <w:t>1.</w:t>
      </w:r>
      <w:r w:rsidRPr="000F327C">
        <w:rPr>
          <w:bCs/>
        </w:rPr>
        <w:tab/>
      </w:r>
      <w:r w:rsidRPr="000F327C">
        <w:rPr>
          <w:b/>
          <w:bCs/>
        </w:rPr>
        <w:t>Single-Use Vials</w:t>
      </w:r>
      <w:proofErr w:type="gramStart"/>
      <w:r w:rsidRPr="000F327C">
        <w:rPr>
          <w:b/>
          <w:bCs/>
        </w:rPr>
        <w:t>:</w:t>
      </w:r>
      <w:r w:rsidRPr="000F327C">
        <w:t xml:space="preserve">  If</w:t>
      </w:r>
      <w:proofErr w:type="gramEnd"/>
      <w:r w:rsidRPr="000F327C">
        <w:t xml:space="preserve"> the provider must discard the remainder of a </w:t>
      </w:r>
      <w:r w:rsidRPr="000F327C">
        <w:rPr>
          <w:b/>
          <w:bCs/>
        </w:rPr>
        <w:t>single-use vial</w:t>
      </w:r>
      <w:r w:rsidRPr="000F327C">
        <w:t xml:space="preserve"> or other package after administering the prescribed dosage of any given drug, Arkansas Medicaid will cover the amount of the drug discarded along with the amount administered. Discarded drugs shall be billed on a separate detail line with a JW (Drug wastage) modifier.</w:t>
      </w:r>
    </w:p>
    <w:p w14:paraId="2245D697" w14:textId="77777777" w:rsidR="00EC680B" w:rsidRPr="000F327C" w:rsidRDefault="00EC680B" w:rsidP="00EC680B">
      <w:pPr>
        <w:pStyle w:val="cnumbered"/>
      </w:pPr>
      <w:r w:rsidRPr="000F327C">
        <w:t>2.</w:t>
      </w:r>
      <w:r w:rsidRPr="000F327C">
        <w:tab/>
      </w:r>
      <w:r w:rsidRPr="000F327C">
        <w:rPr>
          <w:b/>
          <w:bCs/>
        </w:rPr>
        <w:t>Multi-Use Vials</w:t>
      </w:r>
      <w:proofErr w:type="gramStart"/>
      <w:r w:rsidRPr="000F327C">
        <w:t>:  Multi</w:t>
      </w:r>
      <w:proofErr w:type="gramEnd"/>
      <w:r w:rsidRPr="000F327C">
        <w:t>-use vials are not subject to payment for any discarded amounts of the drug.  The units billed must correspond with the units administered to the beneficiary.</w:t>
      </w:r>
    </w:p>
    <w:p w14:paraId="6C46206A" w14:textId="77777777" w:rsidR="00EC680B" w:rsidRPr="000F327C" w:rsidRDefault="00EC680B" w:rsidP="00EC680B">
      <w:pPr>
        <w:pStyle w:val="cnumbered"/>
      </w:pPr>
      <w:r w:rsidRPr="000F327C">
        <w:lastRenderedPageBreak/>
        <w:t>3.</w:t>
      </w:r>
      <w:r w:rsidRPr="000F327C">
        <w:tab/>
      </w:r>
      <w:r w:rsidRPr="000F327C">
        <w:rPr>
          <w:b/>
        </w:rPr>
        <w:t>Documentation</w:t>
      </w:r>
      <w:proofErr w:type="gramStart"/>
      <w:r w:rsidRPr="000F327C">
        <w:rPr>
          <w:b/>
        </w:rPr>
        <w:t>:</w:t>
      </w:r>
      <w:r w:rsidRPr="000F327C">
        <w:t xml:space="preserve">  The</w:t>
      </w:r>
      <w:proofErr w:type="gramEnd"/>
      <w:r w:rsidRPr="000F327C">
        <w:t xml:space="preserve"> provider must clearly document in the patient’s medical record the actual dose administered in addition to the exact amount wasted and the total amount the vial is labeled to contain.</w:t>
      </w:r>
    </w:p>
    <w:p w14:paraId="5956803C" w14:textId="77777777" w:rsidR="00EC680B" w:rsidRPr="000F327C" w:rsidRDefault="00EC680B" w:rsidP="00EC680B">
      <w:pPr>
        <w:pStyle w:val="ctext"/>
      </w:pPr>
      <w:r w:rsidRPr="000F327C">
        <w:t xml:space="preserve">Remember to verify the milligrams given to the patient and then </w:t>
      </w:r>
      <w:proofErr w:type="gramStart"/>
      <w:r w:rsidRPr="000F327C">
        <w:t>convert</w:t>
      </w:r>
      <w:proofErr w:type="gramEnd"/>
      <w:r w:rsidRPr="000F327C">
        <w:t xml:space="preserve"> to the proper units for billing.</w:t>
      </w:r>
    </w:p>
    <w:p w14:paraId="66827634" w14:textId="77777777" w:rsidR="007A681E" w:rsidRPr="00EC680B" w:rsidRDefault="00EC680B" w:rsidP="00EC680B">
      <w:pPr>
        <w:pStyle w:val="ctext"/>
        <w:rPr>
          <w:rFonts w:cs="Arial"/>
          <w:color w:val="003300"/>
          <w:szCs w:val="21"/>
        </w:rPr>
      </w:pPr>
      <w:r w:rsidRPr="000F327C">
        <w:t>Follow the Centers for Disease Control (CDC) requirements for safe practices regarding expiration and sterility of multi-use vials.</w:t>
      </w:r>
    </w:p>
    <w:p w14:paraId="35FDA51F" w14:textId="77777777" w:rsidR="004C0355" w:rsidRDefault="004C0355">
      <w:pPr>
        <w:pStyle w:val="chead1"/>
      </w:pPr>
    </w:p>
    <w:sectPr w:rsidR="004C0355">
      <w:headerReference w:type="default" r:id="rId35"/>
      <w:footerReference w:type="default" r:id="rId36"/>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AC93D" w14:textId="77777777" w:rsidR="003F1F3A" w:rsidRDefault="003F1F3A">
      <w:r>
        <w:separator/>
      </w:r>
    </w:p>
  </w:endnote>
  <w:endnote w:type="continuationSeparator" w:id="0">
    <w:p w14:paraId="39CE005B" w14:textId="77777777" w:rsidR="003F1F3A" w:rsidRDefault="003F1F3A">
      <w:r>
        <w:continuationSeparator/>
      </w:r>
    </w:p>
  </w:endnote>
  <w:endnote w:type="continuationNotice" w:id="1">
    <w:p w14:paraId="59EBE120" w14:textId="77777777" w:rsidR="003F1F3A" w:rsidRDefault="003F1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728B" w14:textId="77777777" w:rsidR="00546647" w:rsidRDefault="00546647">
    <w:pPr>
      <w:pStyle w:val="Footer"/>
    </w:pPr>
    <w:r>
      <w:tab/>
      <w:t>Section II-</w:t>
    </w:r>
    <w:r>
      <w:fldChar w:fldCharType="begin"/>
    </w:r>
    <w:r>
      <w:instrText xml:space="preserve"> PAGE </w:instrText>
    </w:r>
    <w:r>
      <w:fldChar w:fldCharType="separate"/>
    </w:r>
    <w:r w:rsidR="00C80482">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1C83" w14:textId="77777777" w:rsidR="003F1F3A" w:rsidRDefault="003F1F3A">
      <w:r>
        <w:separator/>
      </w:r>
    </w:p>
  </w:footnote>
  <w:footnote w:type="continuationSeparator" w:id="0">
    <w:p w14:paraId="53276CBC" w14:textId="77777777" w:rsidR="003F1F3A" w:rsidRDefault="003F1F3A">
      <w:r>
        <w:continuationSeparator/>
      </w:r>
    </w:p>
  </w:footnote>
  <w:footnote w:type="continuationNotice" w:id="1">
    <w:p w14:paraId="09284368" w14:textId="77777777" w:rsidR="003F1F3A" w:rsidRDefault="003F1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8970" w14:textId="77777777" w:rsidR="00546647" w:rsidRDefault="00546647">
    <w:pPr>
      <w:pStyle w:val="Header"/>
    </w:pPr>
    <w:r>
      <w:t>Hyperalimentation</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83577"/>
    <w:multiLevelType w:val="hybridMultilevel"/>
    <w:tmpl w:val="9D2AF5F4"/>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0A6EB4"/>
    <w:multiLevelType w:val="hybridMultilevel"/>
    <w:tmpl w:val="88AE0AB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17BF3882"/>
    <w:multiLevelType w:val="hybridMultilevel"/>
    <w:tmpl w:val="374A9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D06BBF"/>
    <w:multiLevelType w:val="hybridMultilevel"/>
    <w:tmpl w:val="9A8699AC"/>
    <w:lvl w:ilvl="0" w:tplc="F22650C6">
      <w:start w:val="1"/>
      <w:numFmt w:val="upp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1E61079"/>
    <w:multiLevelType w:val="hybridMultilevel"/>
    <w:tmpl w:val="68B44F0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15:restartNumberingAfterBreak="0">
    <w:nsid w:val="3ABB5E2D"/>
    <w:multiLevelType w:val="hybridMultilevel"/>
    <w:tmpl w:val="18A8455E"/>
    <w:lvl w:ilvl="0" w:tplc="78480396">
      <w:start w:val="1"/>
      <w:numFmt w:val="decimal"/>
      <w:pStyle w:val="ctext"/>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BE40F3"/>
    <w:multiLevelType w:val="hybridMultilevel"/>
    <w:tmpl w:val="F2240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A0EFF"/>
    <w:multiLevelType w:val="hybridMultilevel"/>
    <w:tmpl w:val="7346C4C2"/>
    <w:lvl w:ilvl="0" w:tplc="016E3C68">
      <w:start w:val="1"/>
      <w:numFmt w:val="decimal"/>
      <w:lvlRestart w:val="0"/>
      <w:pStyle w:val="cTableTextChar"/>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165CE5"/>
    <w:multiLevelType w:val="hybridMultilevel"/>
    <w:tmpl w:val="189A29BE"/>
    <w:lvl w:ilvl="0" w:tplc="26A84C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FA51CE"/>
    <w:multiLevelType w:val="hybridMultilevel"/>
    <w:tmpl w:val="1FC8A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A14552"/>
    <w:multiLevelType w:val="hybridMultilevel"/>
    <w:tmpl w:val="FE9E7FA8"/>
    <w:lvl w:ilvl="0" w:tplc="D8D6080C">
      <w:start w:val="1"/>
      <w:numFmt w:val="lowerLetter"/>
      <w:lvlRestart w:val="0"/>
      <w:pStyle w:val="cnumbered"/>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B814D5"/>
    <w:multiLevelType w:val="multilevel"/>
    <w:tmpl w:val="DD80FE32"/>
    <w:lvl w:ilvl="0">
      <w:start w:val="1"/>
      <w:numFmt w:val="upperLetter"/>
      <w:pStyle w:val="cletteredindent"/>
      <w:lvlText w:val="%1."/>
      <w:lvlJc w:val="left"/>
      <w:pPr>
        <w:tabs>
          <w:tab w:val="num" w:pos="907"/>
        </w:tabs>
        <w:ind w:left="907" w:hanging="547"/>
      </w:pPr>
      <w:rPr>
        <w:rFonts w:ascii="Arial" w:hAnsi="Arial"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num w:numId="1" w16cid:durableId="1485313862">
    <w:abstractNumId w:val="11"/>
  </w:num>
  <w:num w:numId="2" w16cid:durableId="462040041">
    <w:abstractNumId w:val="7"/>
  </w:num>
  <w:num w:numId="3" w16cid:durableId="1110053034">
    <w:abstractNumId w:val="10"/>
  </w:num>
  <w:num w:numId="4" w16cid:durableId="1950971237">
    <w:abstractNumId w:val="5"/>
  </w:num>
  <w:num w:numId="5" w16cid:durableId="1051331">
    <w:abstractNumId w:val="0"/>
  </w:num>
  <w:num w:numId="6" w16cid:durableId="39012925">
    <w:abstractNumId w:val="8"/>
  </w:num>
  <w:num w:numId="7" w16cid:durableId="1182427205">
    <w:abstractNumId w:val="3"/>
  </w:num>
  <w:num w:numId="8" w16cid:durableId="1551530947">
    <w:abstractNumId w:val="6"/>
  </w:num>
  <w:num w:numId="9" w16cid:durableId="1181625068">
    <w:abstractNumId w:val="4"/>
  </w:num>
  <w:num w:numId="10" w16cid:durableId="1757509096">
    <w:abstractNumId w:val="2"/>
  </w:num>
  <w:num w:numId="11" w16cid:durableId="261425932">
    <w:abstractNumId w:val="1"/>
  </w:num>
  <w:num w:numId="12" w16cid:durableId="60059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001"/>
    <w:rsid w:val="00007880"/>
    <w:rsid w:val="000174DA"/>
    <w:rsid w:val="00026B3E"/>
    <w:rsid w:val="0007475E"/>
    <w:rsid w:val="000770E3"/>
    <w:rsid w:val="000849FB"/>
    <w:rsid w:val="0009557D"/>
    <w:rsid w:val="000A23FA"/>
    <w:rsid w:val="000B13DC"/>
    <w:rsid w:val="000B44F0"/>
    <w:rsid w:val="000F2436"/>
    <w:rsid w:val="000F327C"/>
    <w:rsid w:val="00100548"/>
    <w:rsid w:val="00107406"/>
    <w:rsid w:val="001134DE"/>
    <w:rsid w:val="0014326E"/>
    <w:rsid w:val="00153019"/>
    <w:rsid w:val="00157386"/>
    <w:rsid w:val="0017332F"/>
    <w:rsid w:val="001B0632"/>
    <w:rsid w:val="001D19F2"/>
    <w:rsid w:val="001D1A61"/>
    <w:rsid w:val="001E02EE"/>
    <w:rsid w:val="00212612"/>
    <w:rsid w:val="00212851"/>
    <w:rsid w:val="00215BE8"/>
    <w:rsid w:val="00223D3C"/>
    <w:rsid w:val="00240305"/>
    <w:rsid w:val="00256574"/>
    <w:rsid w:val="00276B45"/>
    <w:rsid w:val="00276D78"/>
    <w:rsid w:val="002808CF"/>
    <w:rsid w:val="002A2DBA"/>
    <w:rsid w:val="002A4935"/>
    <w:rsid w:val="002A4C47"/>
    <w:rsid w:val="002B256D"/>
    <w:rsid w:val="002D48DB"/>
    <w:rsid w:val="002E738F"/>
    <w:rsid w:val="002F57FA"/>
    <w:rsid w:val="00311317"/>
    <w:rsid w:val="00312C9B"/>
    <w:rsid w:val="003211FA"/>
    <w:rsid w:val="00321F90"/>
    <w:rsid w:val="0033115A"/>
    <w:rsid w:val="0033508C"/>
    <w:rsid w:val="003461E4"/>
    <w:rsid w:val="003467DE"/>
    <w:rsid w:val="00363C47"/>
    <w:rsid w:val="003666E4"/>
    <w:rsid w:val="003823F5"/>
    <w:rsid w:val="003A4A3B"/>
    <w:rsid w:val="003B409C"/>
    <w:rsid w:val="003B669E"/>
    <w:rsid w:val="003C6D3B"/>
    <w:rsid w:val="003D7BD4"/>
    <w:rsid w:val="003E1C05"/>
    <w:rsid w:val="003F1F3A"/>
    <w:rsid w:val="00426F8B"/>
    <w:rsid w:val="00447364"/>
    <w:rsid w:val="00487EB8"/>
    <w:rsid w:val="0049518C"/>
    <w:rsid w:val="004B459B"/>
    <w:rsid w:val="004C0355"/>
    <w:rsid w:val="004C682B"/>
    <w:rsid w:val="004E37BC"/>
    <w:rsid w:val="004F2391"/>
    <w:rsid w:val="004F4FD2"/>
    <w:rsid w:val="00516CD3"/>
    <w:rsid w:val="00520CBE"/>
    <w:rsid w:val="00525001"/>
    <w:rsid w:val="00527255"/>
    <w:rsid w:val="005311EF"/>
    <w:rsid w:val="00541803"/>
    <w:rsid w:val="00543D63"/>
    <w:rsid w:val="00546647"/>
    <w:rsid w:val="005631F1"/>
    <w:rsid w:val="00570F72"/>
    <w:rsid w:val="00596A37"/>
    <w:rsid w:val="005B0E5A"/>
    <w:rsid w:val="005C20FD"/>
    <w:rsid w:val="005C6339"/>
    <w:rsid w:val="005D368B"/>
    <w:rsid w:val="006259C7"/>
    <w:rsid w:val="00626965"/>
    <w:rsid w:val="006426D1"/>
    <w:rsid w:val="00661D36"/>
    <w:rsid w:val="006629A1"/>
    <w:rsid w:val="00664CC6"/>
    <w:rsid w:val="00666A89"/>
    <w:rsid w:val="00675F75"/>
    <w:rsid w:val="00682387"/>
    <w:rsid w:val="00683B8A"/>
    <w:rsid w:val="006A2104"/>
    <w:rsid w:val="006C4A15"/>
    <w:rsid w:val="006D4A11"/>
    <w:rsid w:val="006E1113"/>
    <w:rsid w:val="006E1A34"/>
    <w:rsid w:val="006E5793"/>
    <w:rsid w:val="006E6CDA"/>
    <w:rsid w:val="006F35E4"/>
    <w:rsid w:val="007122F6"/>
    <w:rsid w:val="00735839"/>
    <w:rsid w:val="00744674"/>
    <w:rsid w:val="00772970"/>
    <w:rsid w:val="007730A3"/>
    <w:rsid w:val="00777FB3"/>
    <w:rsid w:val="00784BA3"/>
    <w:rsid w:val="007A0521"/>
    <w:rsid w:val="007A681E"/>
    <w:rsid w:val="007B13ED"/>
    <w:rsid w:val="007C20D9"/>
    <w:rsid w:val="007E0077"/>
    <w:rsid w:val="007F691F"/>
    <w:rsid w:val="0081628A"/>
    <w:rsid w:val="008254B8"/>
    <w:rsid w:val="00834443"/>
    <w:rsid w:val="00856B8C"/>
    <w:rsid w:val="00873F78"/>
    <w:rsid w:val="008759CD"/>
    <w:rsid w:val="008939A1"/>
    <w:rsid w:val="008A776B"/>
    <w:rsid w:val="008C02AB"/>
    <w:rsid w:val="009605F3"/>
    <w:rsid w:val="00962786"/>
    <w:rsid w:val="009A10E7"/>
    <w:rsid w:val="009A385A"/>
    <w:rsid w:val="009A3A56"/>
    <w:rsid w:val="009A6869"/>
    <w:rsid w:val="009B24FB"/>
    <w:rsid w:val="009D3986"/>
    <w:rsid w:val="009D6BFD"/>
    <w:rsid w:val="009E0496"/>
    <w:rsid w:val="009F0B5A"/>
    <w:rsid w:val="00A375A2"/>
    <w:rsid w:val="00A73124"/>
    <w:rsid w:val="00A7564E"/>
    <w:rsid w:val="00A81BEA"/>
    <w:rsid w:val="00A945F0"/>
    <w:rsid w:val="00A94988"/>
    <w:rsid w:val="00A96B9A"/>
    <w:rsid w:val="00AC4964"/>
    <w:rsid w:val="00AC5E91"/>
    <w:rsid w:val="00AC7878"/>
    <w:rsid w:val="00AC7D9A"/>
    <w:rsid w:val="00AE039F"/>
    <w:rsid w:val="00B10ABD"/>
    <w:rsid w:val="00B17286"/>
    <w:rsid w:val="00B25874"/>
    <w:rsid w:val="00B303B6"/>
    <w:rsid w:val="00B76E69"/>
    <w:rsid w:val="00B806A5"/>
    <w:rsid w:val="00B93147"/>
    <w:rsid w:val="00BD7DEC"/>
    <w:rsid w:val="00BE0AF5"/>
    <w:rsid w:val="00BE2C10"/>
    <w:rsid w:val="00BE5E67"/>
    <w:rsid w:val="00BF7E8E"/>
    <w:rsid w:val="00C423C5"/>
    <w:rsid w:val="00C5237D"/>
    <w:rsid w:val="00C52767"/>
    <w:rsid w:val="00C5676F"/>
    <w:rsid w:val="00C63675"/>
    <w:rsid w:val="00C709AA"/>
    <w:rsid w:val="00C80482"/>
    <w:rsid w:val="00C918A5"/>
    <w:rsid w:val="00C941CD"/>
    <w:rsid w:val="00C95E3B"/>
    <w:rsid w:val="00CB5F58"/>
    <w:rsid w:val="00CC5269"/>
    <w:rsid w:val="00CD26A9"/>
    <w:rsid w:val="00CD4D5F"/>
    <w:rsid w:val="00D13AB1"/>
    <w:rsid w:val="00D24585"/>
    <w:rsid w:val="00D35E10"/>
    <w:rsid w:val="00D40971"/>
    <w:rsid w:val="00D662A1"/>
    <w:rsid w:val="00D956C1"/>
    <w:rsid w:val="00DA17CD"/>
    <w:rsid w:val="00DB6400"/>
    <w:rsid w:val="00DD1555"/>
    <w:rsid w:val="00DF3F9E"/>
    <w:rsid w:val="00E010CE"/>
    <w:rsid w:val="00E05307"/>
    <w:rsid w:val="00E26BD8"/>
    <w:rsid w:val="00E32C57"/>
    <w:rsid w:val="00E34205"/>
    <w:rsid w:val="00E47AC2"/>
    <w:rsid w:val="00E64D62"/>
    <w:rsid w:val="00E80E7E"/>
    <w:rsid w:val="00E834E5"/>
    <w:rsid w:val="00E84734"/>
    <w:rsid w:val="00E87588"/>
    <w:rsid w:val="00EC680B"/>
    <w:rsid w:val="00ED5404"/>
    <w:rsid w:val="00EE4902"/>
    <w:rsid w:val="00F01C11"/>
    <w:rsid w:val="00F13A40"/>
    <w:rsid w:val="00F22F27"/>
    <w:rsid w:val="00F61277"/>
    <w:rsid w:val="00F804A5"/>
    <w:rsid w:val="00F82DA6"/>
    <w:rsid w:val="00F96387"/>
    <w:rsid w:val="00F97829"/>
    <w:rsid w:val="00FA7D10"/>
    <w:rsid w:val="00FE5695"/>
    <w:rsid w:val="00FE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microsoft-com:office:smarttags" w:name="PostalCode"/>
  <w:smartTagType w:namespaceuri="urn:schemas-microsoft-com:office:smarttags" w:name="place"/>
  <w:smartTagType w:namespaceuri="urn:schemas-microsoft-com:office:smarttags" w:name="date"/>
  <w:smartTagType w:namespaceuri="urn:schemas-microsoft-com:office:smarttags" w:name="Street"/>
  <w:shapeDefaults>
    <o:shapedefaults v:ext="edit" spidmax="3074"/>
    <o:shapelayout v:ext="edit">
      <o:idmap v:ext="edit" data="2"/>
    </o:shapelayout>
  </w:shapeDefaults>
  <w:decimalSymbol w:val="."/>
  <w:listSeparator w:val=","/>
  <w14:docId w14:val="47B105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386"/>
    <w:rPr>
      <w:rFonts w:ascii="Arial" w:hAnsi="Arial"/>
    </w:rPr>
  </w:style>
  <w:style w:type="paragraph" w:styleId="Heading1">
    <w:name w:val="heading 1"/>
    <w:basedOn w:val="Normal"/>
    <w:next w:val="Normal"/>
    <w:qFormat/>
    <w:rsid w:val="00157386"/>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157386"/>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157386"/>
    <w:pPr>
      <w:tabs>
        <w:tab w:val="clear" w:pos="3226"/>
        <w:tab w:val="left" w:pos="3222"/>
      </w:tabs>
      <w:ind w:left="3222" w:right="-18"/>
      <w:outlineLvl w:val="2"/>
    </w:pPr>
    <w:rPr>
      <w:b w:val="0"/>
    </w:rPr>
  </w:style>
  <w:style w:type="paragraph" w:styleId="Heading4">
    <w:name w:val="heading 4"/>
    <w:basedOn w:val="Normal"/>
    <w:next w:val="Normal"/>
    <w:qFormat/>
    <w:rsid w:val="00157386"/>
    <w:pPr>
      <w:keepNext/>
      <w:spacing w:before="800"/>
      <w:jc w:val="center"/>
      <w:outlineLvl w:val="3"/>
    </w:pPr>
    <w:rPr>
      <w:b/>
      <w:sz w:val="12"/>
    </w:rPr>
  </w:style>
  <w:style w:type="paragraph" w:styleId="Heading5">
    <w:name w:val="heading 5"/>
    <w:basedOn w:val="Normal"/>
    <w:next w:val="Normal"/>
    <w:qFormat/>
    <w:rsid w:val="00157386"/>
    <w:pPr>
      <w:keepNext/>
      <w:widowControl w:val="0"/>
      <w:jc w:val="center"/>
      <w:outlineLvl w:val="4"/>
    </w:pPr>
    <w:rPr>
      <w:b/>
      <w:sz w:val="24"/>
    </w:rPr>
  </w:style>
  <w:style w:type="paragraph" w:styleId="Heading6">
    <w:name w:val="heading 6"/>
    <w:basedOn w:val="Normal"/>
    <w:next w:val="Normal"/>
    <w:qFormat/>
    <w:rsid w:val="00157386"/>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157386"/>
    <w:pPr>
      <w:keepNext/>
      <w:outlineLvl w:val="6"/>
    </w:pPr>
    <w:rPr>
      <w:rFonts w:ascii="Times New Roman" w:hAnsi="Times New Roman"/>
      <w:b/>
      <w:sz w:val="22"/>
    </w:rPr>
  </w:style>
  <w:style w:type="paragraph" w:styleId="Heading8">
    <w:name w:val="heading 8"/>
    <w:basedOn w:val="Normal"/>
    <w:next w:val="Normal"/>
    <w:qFormat/>
    <w:pPr>
      <w:keepNext/>
      <w:outlineLvl w:val="7"/>
    </w:pPr>
    <w:rPr>
      <w:u w:val="single"/>
    </w:rPr>
  </w:style>
  <w:style w:type="character" w:default="1" w:styleId="DefaultParagraphFont">
    <w:name w:val="Default Paragraph Font"/>
    <w:semiHidden/>
    <w:rsid w:val="0015738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57386"/>
  </w:style>
  <w:style w:type="paragraph" w:styleId="TOC4">
    <w:name w:val="toc 4"/>
    <w:basedOn w:val="Normal"/>
    <w:next w:val="Normal"/>
    <w:autoRedefine/>
    <w:semiHidden/>
    <w:rsid w:val="00157386"/>
    <w:pPr>
      <w:ind w:left="600"/>
    </w:pPr>
  </w:style>
  <w:style w:type="paragraph" w:styleId="TOC5">
    <w:name w:val="toc 5"/>
    <w:basedOn w:val="Normal"/>
    <w:next w:val="Normal"/>
    <w:autoRedefine/>
    <w:semiHidden/>
    <w:rsid w:val="00157386"/>
    <w:pPr>
      <w:ind w:left="800"/>
    </w:pPr>
  </w:style>
  <w:style w:type="paragraph" w:customStyle="1" w:styleId="chead1">
    <w:name w:val="chead1"/>
    <w:basedOn w:val="ctext"/>
    <w:rsid w:val="00157386"/>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157386"/>
    <w:pPr>
      <w:spacing w:before="120" w:after="60"/>
      <w:ind w:left="360"/>
    </w:pPr>
    <w:rPr>
      <w:sz w:val="21"/>
    </w:rPr>
  </w:style>
  <w:style w:type="paragraph" w:customStyle="1" w:styleId="chead2">
    <w:name w:val="chead2"/>
    <w:link w:val="chead2Char"/>
    <w:rsid w:val="00276D78"/>
    <w:pPr>
      <w:tabs>
        <w:tab w:val="left" w:pos="1440"/>
      </w:tabs>
      <w:spacing w:before="240" w:after="60"/>
      <w:ind w:left="1440" w:hanging="1440"/>
      <w:outlineLvl w:val="0"/>
    </w:pPr>
    <w:rPr>
      <w:rFonts w:ascii="Arial" w:hAnsi="Arial"/>
      <w:b/>
      <w:color w:val="1D73D6"/>
    </w:rPr>
  </w:style>
  <w:style w:type="paragraph" w:styleId="TOC6">
    <w:name w:val="toc 6"/>
    <w:basedOn w:val="Normal"/>
    <w:next w:val="Normal"/>
    <w:autoRedefine/>
    <w:semiHidden/>
    <w:rsid w:val="00157386"/>
    <w:pPr>
      <w:ind w:left="1000"/>
    </w:pPr>
  </w:style>
  <w:style w:type="paragraph" w:customStyle="1" w:styleId="CLETTERED">
    <w:name w:val="CLETTERED"/>
    <w:basedOn w:val="Normal"/>
    <w:link w:val="CLETTEREDCharChar"/>
    <w:qFormat/>
    <w:rsid w:val="00157386"/>
    <w:pPr>
      <w:spacing w:before="100" w:after="100"/>
      <w:ind w:left="900" w:hanging="540"/>
    </w:pPr>
    <w:rPr>
      <w:rFonts w:eastAsia="MS Mincho"/>
      <w:sz w:val="21"/>
    </w:rPr>
  </w:style>
  <w:style w:type="paragraph" w:customStyle="1" w:styleId="cletteredindent">
    <w:name w:val="cletteredindent"/>
    <w:basedOn w:val="Normal"/>
    <w:rsid w:val="00157386"/>
    <w:pPr>
      <w:widowControl w:val="0"/>
      <w:spacing w:before="40" w:after="40" w:line="240" w:lineRule="atLeast"/>
      <w:ind w:left="1980" w:hanging="540"/>
    </w:pPr>
    <w:rPr>
      <w:sz w:val="21"/>
    </w:rPr>
  </w:style>
  <w:style w:type="paragraph" w:customStyle="1" w:styleId="cnumbered">
    <w:name w:val="cnumbered"/>
    <w:basedOn w:val="Normal"/>
    <w:link w:val="cnumberedCharChar"/>
    <w:rsid w:val="00157386"/>
    <w:pPr>
      <w:spacing w:before="60" w:after="60"/>
      <w:ind w:left="1440" w:hanging="533"/>
    </w:pPr>
    <w:rPr>
      <w:rFonts w:eastAsia="MS Mincho"/>
      <w:sz w:val="21"/>
    </w:rPr>
  </w:style>
  <w:style w:type="character" w:customStyle="1" w:styleId="cTableTextChar">
    <w:name w:val="cTableText Char"/>
    <w:link w:val="cTableText"/>
    <w:rsid w:val="00CB5F58"/>
    <w:rPr>
      <w:rFonts w:ascii="Arial" w:hAnsi="Arial"/>
      <w:sz w:val="21"/>
      <w:lang w:val="en-US" w:eastAsia="en-US" w:bidi="ar-SA"/>
    </w:rPr>
  </w:style>
  <w:style w:type="paragraph" w:styleId="TOC7">
    <w:name w:val="toc 7"/>
    <w:basedOn w:val="Normal"/>
    <w:next w:val="Normal"/>
    <w:autoRedefine/>
    <w:semiHidden/>
    <w:rsid w:val="00157386"/>
    <w:pPr>
      <w:ind w:left="1200"/>
    </w:pPr>
  </w:style>
  <w:style w:type="paragraph" w:styleId="Header">
    <w:name w:val="header"/>
    <w:aliases w:val="PM HEADER"/>
    <w:basedOn w:val="Normal"/>
    <w:link w:val="HeaderChar"/>
    <w:rsid w:val="00157386"/>
    <w:pPr>
      <w:pBdr>
        <w:bottom w:val="single" w:sz="4" w:space="1" w:color="000000"/>
      </w:pBdr>
      <w:tabs>
        <w:tab w:val="right" w:pos="9720"/>
      </w:tabs>
      <w:ind w:left="-360" w:right="-360"/>
    </w:pPr>
    <w:rPr>
      <w:b/>
      <w:snapToGrid w:val="0"/>
      <w:sz w:val="18"/>
    </w:rPr>
  </w:style>
  <w:style w:type="paragraph" w:styleId="Footer">
    <w:name w:val="footer"/>
    <w:basedOn w:val="Normal"/>
    <w:rsid w:val="00157386"/>
    <w:pPr>
      <w:pBdr>
        <w:top w:val="single" w:sz="4" w:space="1" w:color="000000"/>
      </w:pBdr>
      <w:tabs>
        <w:tab w:val="right" w:pos="9720"/>
      </w:tabs>
      <w:ind w:left="-360" w:right="-360"/>
    </w:pPr>
    <w:rPr>
      <w:b/>
      <w:bCs/>
      <w:noProof/>
      <w:snapToGrid w:val="0"/>
      <w:sz w:val="18"/>
    </w:rPr>
  </w:style>
  <w:style w:type="paragraph" w:styleId="TOC8">
    <w:name w:val="toc 8"/>
    <w:basedOn w:val="Normal"/>
    <w:next w:val="Normal"/>
    <w:autoRedefine/>
    <w:semiHidden/>
    <w:rsid w:val="00157386"/>
    <w:pPr>
      <w:ind w:left="1400"/>
    </w:pPr>
  </w:style>
  <w:style w:type="character" w:customStyle="1" w:styleId="CLETTEREDCharChar">
    <w:name w:val="CLETTERED Char Char"/>
    <w:link w:val="CLETTERED"/>
    <w:rsid w:val="00B17286"/>
    <w:rPr>
      <w:rFonts w:ascii="Arial" w:eastAsia="MS Mincho" w:hAnsi="Arial"/>
      <w:sz w:val="21"/>
      <w:lang w:val="en-US" w:eastAsia="en-US" w:bidi="ar-SA"/>
    </w:rPr>
  </w:style>
  <w:style w:type="character" w:customStyle="1" w:styleId="cnumberedCharChar">
    <w:name w:val="cnumbered Char Char"/>
    <w:link w:val="cnumbered"/>
    <w:rsid w:val="00B17286"/>
    <w:rPr>
      <w:rFonts w:ascii="Arial" w:eastAsia="MS Mincho" w:hAnsi="Arial"/>
      <w:sz w:val="21"/>
      <w:lang w:val="en-US" w:eastAsia="en-US" w:bidi="ar-SA"/>
    </w:rPr>
  </w:style>
  <w:style w:type="paragraph" w:customStyle="1" w:styleId="cTOCHead">
    <w:name w:val="cTOCHead"/>
    <w:basedOn w:val="chead1"/>
    <w:rsid w:val="00157386"/>
  </w:style>
  <w:style w:type="paragraph" w:customStyle="1" w:styleId="cAddress">
    <w:name w:val="cAddress"/>
    <w:basedOn w:val="ctext"/>
    <w:rsid w:val="00157386"/>
    <w:pPr>
      <w:ind w:left="2160"/>
    </w:pPr>
  </w:style>
  <w:style w:type="paragraph" w:customStyle="1" w:styleId="cDate1">
    <w:name w:val="cDate1"/>
    <w:basedOn w:val="Normal"/>
    <w:rsid w:val="00157386"/>
    <w:pPr>
      <w:spacing w:before="60" w:after="60"/>
      <w:jc w:val="right"/>
    </w:pPr>
    <w:rPr>
      <w:b/>
      <w:color w:val="FFFFFF"/>
    </w:rPr>
  </w:style>
  <w:style w:type="paragraph" w:customStyle="1" w:styleId="cDate2">
    <w:name w:val="cDate2"/>
    <w:link w:val="cDate2Char"/>
    <w:rsid w:val="00276D78"/>
    <w:pPr>
      <w:spacing w:before="240" w:after="60"/>
      <w:jc w:val="right"/>
    </w:pPr>
    <w:rPr>
      <w:rFonts w:ascii="Arial" w:hAnsi="Arial"/>
      <w:b/>
      <w:color w:val="1D73D6"/>
      <w:sz w:val="18"/>
    </w:rPr>
  </w:style>
  <w:style w:type="paragraph" w:styleId="TOC1">
    <w:name w:val="toc 1"/>
    <w:basedOn w:val="Normal"/>
    <w:next w:val="Normal"/>
    <w:autoRedefine/>
    <w:uiPriority w:val="39"/>
    <w:rsid w:val="00276D78"/>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157386"/>
    <w:pPr>
      <w:shd w:val="clear" w:color="auto" w:fill="FFFFFF"/>
      <w:tabs>
        <w:tab w:val="left" w:pos="1440"/>
      </w:tabs>
      <w:ind w:left="1440" w:hanging="1080"/>
    </w:pPr>
    <w:rPr>
      <w:rFonts w:eastAsia="MS Mincho"/>
      <w:noProof/>
      <w:sz w:val="21"/>
    </w:rPr>
  </w:style>
  <w:style w:type="character" w:styleId="Hyperlink">
    <w:name w:val="Hyperlink"/>
    <w:uiPriority w:val="99"/>
    <w:rsid w:val="00157386"/>
    <w:rPr>
      <w:rFonts w:ascii="Arial" w:hAnsi="Arial"/>
      <w:b/>
      <w:dstrike w:val="0"/>
      <w:color w:val="0000FF"/>
      <w:sz w:val="21"/>
      <w:u w:val="single"/>
      <w:vertAlign w:val="baseline"/>
    </w:rPr>
  </w:style>
  <w:style w:type="paragraph" w:customStyle="1" w:styleId="cTableText">
    <w:name w:val="cTableText"/>
    <w:link w:val="cTableTextChar"/>
    <w:rsid w:val="00157386"/>
    <w:pPr>
      <w:spacing w:before="60" w:after="60"/>
    </w:pPr>
    <w:rPr>
      <w:rFonts w:ascii="Arial" w:hAnsi="Arial"/>
      <w:sz w:val="21"/>
    </w:rPr>
  </w:style>
  <w:style w:type="character" w:styleId="FollowedHyperlink">
    <w:name w:val="FollowedHyperlink"/>
    <w:rsid w:val="00157386"/>
    <w:rPr>
      <w:rFonts w:ascii="Arial" w:hAnsi="Arial"/>
      <w:b/>
      <w:dstrike w:val="0"/>
      <w:color w:val="800080"/>
      <w:sz w:val="21"/>
      <w:u w:val="single"/>
      <w:vertAlign w:val="baseline"/>
    </w:rPr>
  </w:style>
  <w:style w:type="paragraph" w:styleId="TOC3">
    <w:name w:val="toc 3"/>
    <w:basedOn w:val="Normal"/>
    <w:next w:val="Normal"/>
    <w:autoRedefine/>
    <w:semiHidden/>
    <w:rsid w:val="00157386"/>
    <w:pPr>
      <w:ind w:left="400"/>
    </w:pPr>
  </w:style>
  <w:style w:type="paragraph" w:customStyle="1" w:styleId="ctableheading">
    <w:name w:val="ctableheading"/>
    <w:basedOn w:val="cTableText"/>
    <w:link w:val="ctableheadingChar"/>
    <w:rsid w:val="00157386"/>
    <w:rPr>
      <w:b/>
      <w:bCs/>
      <w:color w:val="000000"/>
    </w:rPr>
  </w:style>
  <w:style w:type="paragraph" w:customStyle="1" w:styleId="ctablespace">
    <w:name w:val="ctablespace"/>
    <w:basedOn w:val="ctext"/>
    <w:link w:val="ctablespaceChar"/>
    <w:rsid w:val="00157386"/>
    <w:pPr>
      <w:spacing w:before="0" w:after="0"/>
    </w:pPr>
  </w:style>
  <w:style w:type="paragraph" w:styleId="TOC9">
    <w:name w:val="toc 9"/>
    <w:basedOn w:val="Normal"/>
    <w:next w:val="Normal"/>
    <w:autoRedefine/>
    <w:semiHidden/>
    <w:rsid w:val="00157386"/>
    <w:pPr>
      <w:ind w:left="1600"/>
    </w:pPr>
  </w:style>
  <w:style w:type="character" w:customStyle="1" w:styleId="HeaderChar">
    <w:name w:val="Header Char"/>
    <w:link w:val="Header"/>
    <w:rsid w:val="00735839"/>
    <w:rPr>
      <w:rFonts w:ascii="Arial" w:hAnsi="Arial"/>
      <w:b/>
      <w:snapToGrid w:val="0"/>
      <w:sz w:val="18"/>
    </w:rPr>
  </w:style>
  <w:style w:type="character" w:customStyle="1" w:styleId="ctableheadingChar">
    <w:name w:val="ctableheading Char"/>
    <w:link w:val="ctableheading"/>
    <w:rsid w:val="00CB5F58"/>
    <w:rPr>
      <w:rFonts w:ascii="Arial" w:hAnsi="Arial"/>
      <w:b/>
      <w:bCs/>
      <w:color w:val="000000"/>
      <w:sz w:val="21"/>
      <w:lang w:val="en-US" w:eastAsia="en-US" w:bidi="ar-SA"/>
    </w:rPr>
  </w:style>
  <w:style w:type="paragraph" w:customStyle="1" w:styleId="Note">
    <w:name w:val="Note"/>
    <w:basedOn w:val="ctext"/>
    <w:rsid w:val="00157386"/>
    <w:pPr>
      <w:tabs>
        <w:tab w:val="left" w:pos="1710"/>
      </w:tabs>
      <w:ind w:left="1710" w:hanging="810"/>
    </w:pPr>
    <w:rPr>
      <w:rFonts w:eastAsia="MS Mincho"/>
      <w:b/>
      <w:bCs/>
    </w:rPr>
  </w:style>
  <w:style w:type="character" w:customStyle="1" w:styleId="ctextChar">
    <w:name w:val="ctext Char"/>
    <w:link w:val="ctext"/>
    <w:rsid w:val="008254B8"/>
    <w:rPr>
      <w:rFonts w:ascii="Arial" w:hAnsi="Arial"/>
      <w:sz w:val="21"/>
    </w:rPr>
  </w:style>
  <w:style w:type="paragraph" w:styleId="BalloonText">
    <w:name w:val="Balloon Text"/>
    <w:basedOn w:val="Normal"/>
    <w:link w:val="BalloonTextChar"/>
    <w:rsid w:val="00363C47"/>
    <w:rPr>
      <w:rFonts w:ascii="Tahoma" w:hAnsi="Tahoma" w:cs="Tahoma"/>
      <w:sz w:val="16"/>
      <w:szCs w:val="16"/>
    </w:rPr>
  </w:style>
  <w:style w:type="character" w:customStyle="1" w:styleId="BalloonTextChar">
    <w:name w:val="Balloon Text Char"/>
    <w:link w:val="BalloonText"/>
    <w:rsid w:val="00363C47"/>
    <w:rPr>
      <w:rFonts w:ascii="Tahoma" w:hAnsi="Tahoma" w:cs="Tahoma"/>
      <w:sz w:val="16"/>
      <w:szCs w:val="16"/>
    </w:rPr>
  </w:style>
  <w:style w:type="character" w:customStyle="1" w:styleId="chead2Char">
    <w:name w:val="chead2 Char"/>
    <w:link w:val="chead2"/>
    <w:locked/>
    <w:rsid w:val="00276D78"/>
    <w:rPr>
      <w:rFonts w:ascii="Arial" w:hAnsi="Arial"/>
      <w:b/>
      <w:color w:val="1D73D6"/>
    </w:rPr>
  </w:style>
  <w:style w:type="character" w:customStyle="1" w:styleId="CLETTEREDChar">
    <w:name w:val="CLETTERED Char"/>
    <w:rsid w:val="007A681E"/>
    <w:rPr>
      <w:rFonts w:ascii="Arial" w:eastAsia="MS Mincho" w:hAnsi="Arial"/>
      <w:sz w:val="21"/>
    </w:rPr>
  </w:style>
  <w:style w:type="character" w:customStyle="1" w:styleId="cDate2Char">
    <w:name w:val="cDate2 Char"/>
    <w:link w:val="cDate2"/>
    <w:rsid w:val="00276D78"/>
    <w:rPr>
      <w:rFonts w:ascii="Arial" w:hAnsi="Arial"/>
      <w:b/>
      <w:color w:val="1D73D6"/>
      <w:sz w:val="18"/>
    </w:rPr>
  </w:style>
  <w:style w:type="character" w:customStyle="1" w:styleId="ctablespaceChar">
    <w:name w:val="ctablespace Char"/>
    <w:link w:val="ctablespace"/>
    <w:rsid w:val="008759CD"/>
    <w:rPr>
      <w:rFonts w:ascii="Arial" w:hAnsi="Arial"/>
      <w:sz w:val="21"/>
    </w:rPr>
  </w:style>
  <w:style w:type="character" w:styleId="UnresolvedMention">
    <w:name w:val="Unresolved Mention"/>
    <w:uiPriority w:val="99"/>
    <w:semiHidden/>
    <w:unhideWhenUsed/>
    <w:rsid w:val="00C42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59972">
      <w:bodyDiv w:val="1"/>
      <w:marLeft w:val="0"/>
      <w:marRight w:val="0"/>
      <w:marTop w:val="0"/>
      <w:marBottom w:val="0"/>
      <w:divBdr>
        <w:top w:val="none" w:sz="0" w:space="0" w:color="auto"/>
        <w:left w:val="none" w:sz="0" w:space="0" w:color="auto"/>
        <w:bottom w:val="none" w:sz="0" w:space="0" w:color="auto"/>
        <w:right w:val="none" w:sz="0" w:space="0" w:color="auto"/>
      </w:divBdr>
    </w:div>
    <w:div w:id="287124461">
      <w:bodyDiv w:val="1"/>
      <w:marLeft w:val="0"/>
      <w:marRight w:val="0"/>
      <w:marTop w:val="0"/>
      <w:marBottom w:val="0"/>
      <w:divBdr>
        <w:top w:val="none" w:sz="0" w:space="0" w:color="auto"/>
        <w:left w:val="none" w:sz="0" w:space="0" w:color="auto"/>
        <w:bottom w:val="none" w:sz="0" w:space="0" w:color="auto"/>
        <w:right w:val="none" w:sz="0" w:space="0" w:color="auto"/>
      </w:divBdr>
    </w:div>
    <w:div w:id="356853906">
      <w:bodyDiv w:val="1"/>
      <w:marLeft w:val="0"/>
      <w:marRight w:val="0"/>
      <w:marTop w:val="0"/>
      <w:marBottom w:val="0"/>
      <w:divBdr>
        <w:top w:val="none" w:sz="0" w:space="0" w:color="auto"/>
        <w:left w:val="none" w:sz="0" w:space="0" w:color="auto"/>
        <w:bottom w:val="none" w:sz="0" w:space="0" w:color="auto"/>
        <w:right w:val="none" w:sz="0" w:space="0" w:color="auto"/>
      </w:divBdr>
    </w:div>
    <w:div w:id="600183860">
      <w:bodyDiv w:val="1"/>
      <w:marLeft w:val="0"/>
      <w:marRight w:val="0"/>
      <w:marTop w:val="0"/>
      <w:marBottom w:val="0"/>
      <w:divBdr>
        <w:top w:val="none" w:sz="0" w:space="0" w:color="auto"/>
        <w:left w:val="none" w:sz="0" w:space="0" w:color="auto"/>
        <w:bottom w:val="none" w:sz="0" w:space="0" w:color="auto"/>
        <w:right w:val="none" w:sz="0" w:space="0" w:color="auto"/>
      </w:divBdr>
    </w:div>
    <w:div w:id="798760984">
      <w:bodyDiv w:val="1"/>
      <w:marLeft w:val="0"/>
      <w:marRight w:val="0"/>
      <w:marTop w:val="0"/>
      <w:marBottom w:val="0"/>
      <w:divBdr>
        <w:top w:val="none" w:sz="0" w:space="0" w:color="auto"/>
        <w:left w:val="none" w:sz="0" w:space="0" w:color="auto"/>
        <w:bottom w:val="none" w:sz="0" w:space="0" w:color="auto"/>
        <w:right w:val="none" w:sz="0" w:space="0" w:color="auto"/>
      </w:divBdr>
    </w:div>
    <w:div w:id="858353312">
      <w:bodyDiv w:val="1"/>
      <w:marLeft w:val="0"/>
      <w:marRight w:val="0"/>
      <w:marTop w:val="0"/>
      <w:marBottom w:val="0"/>
      <w:divBdr>
        <w:top w:val="none" w:sz="0" w:space="0" w:color="auto"/>
        <w:left w:val="none" w:sz="0" w:space="0" w:color="auto"/>
        <w:bottom w:val="none" w:sz="0" w:space="0" w:color="auto"/>
        <w:right w:val="none" w:sz="0" w:space="0" w:color="auto"/>
      </w:divBdr>
    </w:div>
    <w:div w:id="1021515773">
      <w:bodyDiv w:val="1"/>
      <w:marLeft w:val="0"/>
      <w:marRight w:val="0"/>
      <w:marTop w:val="0"/>
      <w:marBottom w:val="0"/>
      <w:divBdr>
        <w:top w:val="none" w:sz="0" w:space="0" w:color="auto"/>
        <w:left w:val="none" w:sz="0" w:space="0" w:color="auto"/>
        <w:bottom w:val="none" w:sz="0" w:space="0" w:color="auto"/>
        <w:right w:val="none" w:sz="0" w:space="0" w:color="auto"/>
      </w:divBdr>
    </w:div>
    <w:div w:id="1061051456">
      <w:bodyDiv w:val="1"/>
      <w:marLeft w:val="0"/>
      <w:marRight w:val="0"/>
      <w:marTop w:val="0"/>
      <w:marBottom w:val="0"/>
      <w:divBdr>
        <w:top w:val="none" w:sz="0" w:space="0" w:color="auto"/>
        <w:left w:val="none" w:sz="0" w:space="0" w:color="auto"/>
        <w:bottom w:val="none" w:sz="0" w:space="0" w:color="auto"/>
        <w:right w:val="none" w:sz="0" w:space="0" w:color="auto"/>
      </w:divBdr>
    </w:div>
    <w:div w:id="1111701297">
      <w:bodyDiv w:val="1"/>
      <w:marLeft w:val="0"/>
      <w:marRight w:val="0"/>
      <w:marTop w:val="0"/>
      <w:marBottom w:val="0"/>
      <w:divBdr>
        <w:top w:val="none" w:sz="0" w:space="0" w:color="auto"/>
        <w:left w:val="none" w:sz="0" w:space="0" w:color="auto"/>
        <w:bottom w:val="none" w:sz="0" w:space="0" w:color="auto"/>
        <w:right w:val="none" w:sz="0" w:space="0" w:color="auto"/>
      </w:divBdr>
    </w:div>
    <w:div w:id="1564877350">
      <w:bodyDiv w:val="1"/>
      <w:marLeft w:val="0"/>
      <w:marRight w:val="0"/>
      <w:marTop w:val="0"/>
      <w:marBottom w:val="0"/>
      <w:divBdr>
        <w:top w:val="none" w:sz="0" w:space="0" w:color="auto"/>
        <w:left w:val="none" w:sz="0" w:space="0" w:color="auto"/>
        <w:bottom w:val="none" w:sz="0" w:space="0" w:color="auto"/>
        <w:right w:val="none" w:sz="0" w:space="0" w:color="auto"/>
      </w:divBdr>
    </w:div>
    <w:div w:id="1756124654">
      <w:bodyDiv w:val="1"/>
      <w:marLeft w:val="0"/>
      <w:marRight w:val="0"/>
      <w:marTop w:val="0"/>
      <w:marBottom w:val="0"/>
      <w:divBdr>
        <w:top w:val="none" w:sz="0" w:space="0" w:color="auto"/>
        <w:left w:val="none" w:sz="0" w:space="0" w:color="auto"/>
        <w:bottom w:val="none" w:sz="0" w:space="0" w:color="auto"/>
        <w:right w:val="none" w:sz="0" w:space="0" w:color="auto"/>
      </w:divBdr>
    </w:div>
    <w:div w:id="1831093227">
      <w:bodyDiv w:val="1"/>
      <w:marLeft w:val="0"/>
      <w:marRight w:val="0"/>
      <w:marTop w:val="0"/>
      <w:marBottom w:val="0"/>
      <w:divBdr>
        <w:top w:val="none" w:sz="0" w:space="0" w:color="auto"/>
        <w:left w:val="none" w:sz="0" w:space="0" w:color="auto"/>
        <w:bottom w:val="none" w:sz="0" w:space="0" w:color="auto"/>
        <w:right w:val="none" w:sz="0" w:space="0" w:color="auto"/>
      </w:divBdr>
    </w:div>
    <w:div w:id="1856453648">
      <w:bodyDiv w:val="1"/>
      <w:marLeft w:val="0"/>
      <w:marRight w:val="0"/>
      <w:marTop w:val="0"/>
      <w:marBottom w:val="0"/>
      <w:divBdr>
        <w:top w:val="none" w:sz="0" w:space="0" w:color="auto"/>
        <w:left w:val="none" w:sz="0" w:space="0" w:color="auto"/>
        <w:bottom w:val="none" w:sz="0" w:space="0" w:color="auto"/>
        <w:right w:val="none" w:sz="0" w:space="0" w:color="auto"/>
      </w:divBdr>
    </w:div>
    <w:div w:id="19396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DMS-2615.docx" TargetMode="External"/><Relationship Id="rId18" Type="http://schemas.openxmlformats.org/officeDocument/2006/relationships/hyperlink" Target="https://humanservices.arkansas.gov/wp-content/uploads/HYPER_ProcCodes.xlsx" TargetMode="External"/><Relationship Id="rId26" Type="http://schemas.openxmlformats.org/officeDocument/2006/relationships/hyperlink" Target="http://www.nucc.org" TargetMode="External"/><Relationship Id="rId21" Type="http://schemas.openxmlformats.org/officeDocument/2006/relationships/hyperlink" Target="https://humanservices.arkansas.gov/wp-content/uploads/HYPER_ProcCodes.xlsx" TargetMode="External"/><Relationship Id="rId34" Type="http://schemas.openxmlformats.org/officeDocument/2006/relationships/hyperlink" Target="https://humanservices.arkansas.gov/wp-content/uploads/HYPER_ProcCodes.xlsx" TargetMode="External"/><Relationship Id="rId7" Type="http://schemas.openxmlformats.org/officeDocument/2006/relationships/settings" Target="settings.xml"/><Relationship Id="rId12" Type="http://schemas.openxmlformats.org/officeDocument/2006/relationships/hyperlink" Target="https://humanservices.arkansas.gov/wp-content/uploads/ProviderEnrol.docx" TargetMode="External"/><Relationship Id="rId17" Type="http://schemas.openxmlformats.org/officeDocument/2006/relationships/hyperlink" Target="https://humanservices.arkansas.gov/divisions-shared-services/medical-services/helpful-information-for-providers/fee-schedules/" TargetMode="External"/><Relationship Id="rId25" Type="http://schemas.openxmlformats.org/officeDocument/2006/relationships/hyperlink" Target="https://humanservices.arkansas.gov/wp-content/uploads/Claims.docx"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umanservices.arkansas.gov/wp-content/uploads/AFMC.docx" TargetMode="External"/><Relationship Id="rId20" Type="http://schemas.openxmlformats.org/officeDocument/2006/relationships/hyperlink" Target="https://humanservices.arkansas.gov/wp-content/uploads/HYPER_ProcCodes.xlsx"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ervices.arkansas.gov/wp-content/uploads/ApplicationPacket.pdf" TargetMode="External"/><Relationship Id="rId24" Type="http://schemas.openxmlformats.org/officeDocument/2006/relationships/hyperlink" Target="https://humanservices.arkansas.gov/wp-content/uploads/SampleCMS-1500.pdf"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umanservices.arkansas.gov/wp-content/uploads/DMS-2615.docx" TargetMode="External"/><Relationship Id="rId23" Type="http://schemas.openxmlformats.org/officeDocument/2006/relationships/hyperlink" Target="https://humanservices.arkansas.gov/wp-content/uploads/HYPER_ProcCodes.xlsx" TargetMode="External"/><Relationship Id="rId28" Type="http://schemas.openxmlformats.org/officeDocument/2006/relationships/hyperlink" Target="https://ar.primetherapeutics.com/provider-document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umanservices.arkansas.gov/wp-content/uploads/HYPER_ProcCodes.xlsx"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AFMC.docx" TargetMode="External"/><Relationship Id="rId22" Type="http://schemas.openxmlformats.org/officeDocument/2006/relationships/hyperlink" Target="https://humanservices.arkansas.gov/wp-content/uploads/HYPER_ProcCodes.xlsx" TargetMode="External"/><Relationship Id="rId27" Type="http://schemas.openxmlformats.org/officeDocument/2006/relationships/hyperlink" Target="http://www.nucc.org" TargetMode="External"/><Relationship Id="rId30" Type="http://schemas.openxmlformats.org/officeDocument/2006/relationships/image" Target="cid:image001.png@01D800BE.1F242B80"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2" ma:contentTypeDescription="Create a new document." ma:contentTypeScope="" ma:versionID="1b0b9d796f7996177bfb1d081cce6f48">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aa326d7804d3a7db8c90997c1c6ec13b"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74B46E-DE52-40CD-96C1-59ACD5560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339E3-AE52-4B57-8805-CA42AAD19D18}">
  <ds:schemaRefs>
    <ds:schemaRef ds:uri="http://schemas.microsoft.com/sharepoint/v3/contenttype/forms"/>
  </ds:schemaRefs>
</ds:datastoreItem>
</file>

<file path=customXml/itemProps3.xml><?xml version="1.0" encoding="utf-8"?>
<ds:datastoreItem xmlns:ds="http://schemas.openxmlformats.org/officeDocument/2006/customXml" ds:itemID="{FD28A6E5-67C5-4D5A-8F54-4CC5A07D5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D946D-ACAD-46F1-8F58-4B057FEF1B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8288</Words>
  <Characters>47246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Hyperalimentation Section II</vt:lpstr>
    </vt:vector>
  </TitlesOfParts>
  <LinksUpToDate>false</LinksUpToDate>
  <CharactersWithSpaces>55424</CharactersWithSpaces>
  <SharedDoc>false</SharedDoc>
  <HyperlinkBase/>
  <HLinks>
    <vt:vector size="378" baseType="variant">
      <vt:variant>
        <vt:i4>1179694</vt:i4>
      </vt:variant>
      <vt:variant>
        <vt:i4>192</vt:i4>
      </vt:variant>
      <vt:variant>
        <vt:i4>0</vt:i4>
      </vt:variant>
      <vt:variant>
        <vt:i4>5</vt:i4>
      </vt:variant>
      <vt:variant>
        <vt:lpwstr>https://humanservices.arkansas.gov/wp-content/uploads/HYPER_ProcCodes.xlsx</vt:lpwstr>
      </vt:variant>
      <vt:variant>
        <vt:lpwstr/>
      </vt:variant>
      <vt:variant>
        <vt:i4>2162794</vt:i4>
      </vt:variant>
      <vt:variant>
        <vt:i4>186</vt:i4>
      </vt:variant>
      <vt:variant>
        <vt:i4>0</vt:i4>
      </vt:variant>
      <vt:variant>
        <vt:i4>5</vt:i4>
      </vt:variant>
      <vt:variant>
        <vt:lpwstr>https://ar.primetherapeutics.com/provider-documents</vt:lpwstr>
      </vt:variant>
      <vt:variant>
        <vt:lpwstr/>
      </vt:variant>
      <vt:variant>
        <vt:i4>5570638</vt:i4>
      </vt:variant>
      <vt:variant>
        <vt:i4>183</vt:i4>
      </vt:variant>
      <vt:variant>
        <vt:i4>0</vt:i4>
      </vt:variant>
      <vt:variant>
        <vt:i4>5</vt:i4>
      </vt:variant>
      <vt:variant>
        <vt:lpwstr>http://www.nucc.org/</vt:lpwstr>
      </vt:variant>
      <vt:variant>
        <vt:lpwstr/>
      </vt:variant>
      <vt:variant>
        <vt:i4>5570638</vt:i4>
      </vt:variant>
      <vt:variant>
        <vt:i4>180</vt:i4>
      </vt:variant>
      <vt:variant>
        <vt:i4>0</vt:i4>
      </vt:variant>
      <vt:variant>
        <vt:i4>5</vt:i4>
      </vt:variant>
      <vt:variant>
        <vt:lpwstr>http://www.nucc.org/</vt:lpwstr>
      </vt:variant>
      <vt:variant>
        <vt:lpwstr/>
      </vt:variant>
      <vt:variant>
        <vt:i4>65546</vt:i4>
      </vt:variant>
      <vt:variant>
        <vt:i4>177</vt:i4>
      </vt:variant>
      <vt:variant>
        <vt:i4>0</vt:i4>
      </vt:variant>
      <vt:variant>
        <vt:i4>5</vt:i4>
      </vt:variant>
      <vt:variant>
        <vt:lpwstr>https://humanservices.arkansas.gov/wp-content/uploads/Claims.doc</vt:lpwstr>
      </vt:variant>
      <vt:variant>
        <vt:lpwstr/>
      </vt:variant>
      <vt:variant>
        <vt:i4>5701645</vt:i4>
      </vt:variant>
      <vt:variant>
        <vt:i4>174</vt:i4>
      </vt:variant>
      <vt:variant>
        <vt:i4>0</vt:i4>
      </vt:variant>
      <vt:variant>
        <vt:i4>5</vt:i4>
      </vt:variant>
      <vt:variant>
        <vt:lpwstr>https://humanservices.arkansas.gov/wp-content/uploads/SampleCMS-1500.pdf</vt:lpwstr>
      </vt:variant>
      <vt:variant>
        <vt:lpwstr/>
      </vt:variant>
      <vt:variant>
        <vt:i4>1179694</vt:i4>
      </vt:variant>
      <vt:variant>
        <vt:i4>171</vt:i4>
      </vt:variant>
      <vt:variant>
        <vt:i4>0</vt:i4>
      </vt:variant>
      <vt:variant>
        <vt:i4>5</vt:i4>
      </vt:variant>
      <vt:variant>
        <vt:lpwstr>https://humanservices.arkansas.gov/wp-content/uploads/HYPER_ProcCodes.xlsx</vt:lpwstr>
      </vt:variant>
      <vt:variant>
        <vt:lpwstr/>
      </vt:variant>
      <vt:variant>
        <vt:i4>1179694</vt:i4>
      </vt:variant>
      <vt:variant>
        <vt:i4>168</vt:i4>
      </vt:variant>
      <vt:variant>
        <vt:i4>0</vt:i4>
      </vt:variant>
      <vt:variant>
        <vt:i4>5</vt:i4>
      </vt:variant>
      <vt:variant>
        <vt:lpwstr>https://humanservices.arkansas.gov/wp-content/uploads/HYPER_ProcCodes.xlsx</vt:lpwstr>
      </vt:variant>
      <vt:variant>
        <vt:lpwstr/>
      </vt:variant>
      <vt:variant>
        <vt:i4>1179694</vt:i4>
      </vt:variant>
      <vt:variant>
        <vt:i4>165</vt:i4>
      </vt:variant>
      <vt:variant>
        <vt:i4>0</vt:i4>
      </vt:variant>
      <vt:variant>
        <vt:i4>5</vt:i4>
      </vt:variant>
      <vt:variant>
        <vt:lpwstr>https://humanservices.arkansas.gov/wp-content/uploads/HYPER_ProcCodes.xlsx</vt:lpwstr>
      </vt:variant>
      <vt:variant>
        <vt:lpwstr/>
      </vt:variant>
      <vt:variant>
        <vt:i4>1179694</vt:i4>
      </vt:variant>
      <vt:variant>
        <vt:i4>162</vt:i4>
      </vt:variant>
      <vt:variant>
        <vt:i4>0</vt:i4>
      </vt:variant>
      <vt:variant>
        <vt:i4>5</vt:i4>
      </vt:variant>
      <vt:variant>
        <vt:lpwstr>https://humanservices.arkansas.gov/wp-content/uploads/HYPER_ProcCodes.xlsx</vt:lpwstr>
      </vt:variant>
      <vt:variant>
        <vt:lpwstr/>
      </vt:variant>
      <vt:variant>
        <vt:i4>1179694</vt:i4>
      </vt:variant>
      <vt:variant>
        <vt:i4>159</vt:i4>
      </vt:variant>
      <vt:variant>
        <vt:i4>0</vt:i4>
      </vt:variant>
      <vt:variant>
        <vt:i4>5</vt:i4>
      </vt:variant>
      <vt:variant>
        <vt:lpwstr>https://humanservices.arkansas.gov/wp-content/uploads/HYPER_ProcCodes.xlsx</vt:lpwstr>
      </vt:variant>
      <vt:variant>
        <vt:lpwstr/>
      </vt:variant>
      <vt:variant>
        <vt:i4>1179694</vt:i4>
      </vt:variant>
      <vt:variant>
        <vt:i4>156</vt:i4>
      </vt:variant>
      <vt:variant>
        <vt:i4>0</vt:i4>
      </vt:variant>
      <vt:variant>
        <vt:i4>5</vt:i4>
      </vt:variant>
      <vt:variant>
        <vt:lpwstr>https://humanservices.arkansas.gov/wp-content/uploads/HYPER_ProcCodes.xlsx</vt:lpwstr>
      </vt:variant>
      <vt:variant>
        <vt:lpwstr/>
      </vt:variant>
      <vt:variant>
        <vt:i4>3997812</vt:i4>
      </vt:variant>
      <vt:variant>
        <vt:i4>153</vt:i4>
      </vt:variant>
      <vt:variant>
        <vt:i4>0</vt:i4>
      </vt:variant>
      <vt:variant>
        <vt:i4>5</vt:i4>
      </vt:variant>
      <vt:variant>
        <vt:lpwstr>https://humanservices.arkansas.gov/divisions-shared-services/medical-services/helpful-information-for-providers/fee-schedules/</vt:lpwstr>
      </vt:variant>
      <vt:variant>
        <vt:lpwstr/>
      </vt:variant>
      <vt:variant>
        <vt:i4>7471209</vt:i4>
      </vt:variant>
      <vt:variant>
        <vt:i4>150</vt:i4>
      </vt:variant>
      <vt:variant>
        <vt:i4>0</vt:i4>
      </vt:variant>
      <vt:variant>
        <vt:i4>5</vt:i4>
      </vt:variant>
      <vt:variant>
        <vt:lpwstr>https://humanservices.arkansas.gov/wp-content/uploads/AFMC.doc</vt:lpwstr>
      </vt:variant>
      <vt:variant>
        <vt:lpwstr/>
      </vt:variant>
      <vt:variant>
        <vt:i4>3407985</vt:i4>
      </vt:variant>
      <vt:variant>
        <vt:i4>147</vt:i4>
      </vt:variant>
      <vt:variant>
        <vt:i4>0</vt:i4>
      </vt:variant>
      <vt:variant>
        <vt:i4>5</vt:i4>
      </vt:variant>
      <vt:variant>
        <vt:lpwstr>https://humanservices.arkansas.gov/wp-content/uploads/DMS-2615.doc</vt:lpwstr>
      </vt:variant>
      <vt:variant>
        <vt:lpwstr/>
      </vt:variant>
      <vt:variant>
        <vt:i4>7471209</vt:i4>
      </vt:variant>
      <vt:variant>
        <vt:i4>144</vt:i4>
      </vt:variant>
      <vt:variant>
        <vt:i4>0</vt:i4>
      </vt:variant>
      <vt:variant>
        <vt:i4>5</vt:i4>
      </vt:variant>
      <vt:variant>
        <vt:lpwstr>https://humanservices.arkansas.gov/wp-content/uploads/AFMC.doc</vt:lpwstr>
      </vt:variant>
      <vt:variant>
        <vt:lpwstr/>
      </vt:variant>
      <vt:variant>
        <vt:i4>3407985</vt:i4>
      </vt:variant>
      <vt:variant>
        <vt:i4>141</vt:i4>
      </vt:variant>
      <vt:variant>
        <vt:i4>0</vt:i4>
      </vt:variant>
      <vt:variant>
        <vt:i4>5</vt:i4>
      </vt:variant>
      <vt:variant>
        <vt:lpwstr>https://humanservices.arkansas.gov/wp-content/uploads/DMS-2615.doc</vt:lpwstr>
      </vt:variant>
      <vt:variant>
        <vt:lpwstr/>
      </vt:variant>
      <vt:variant>
        <vt:i4>2228264</vt:i4>
      </vt:variant>
      <vt:variant>
        <vt:i4>138</vt:i4>
      </vt:variant>
      <vt:variant>
        <vt:i4>0</vt:i4>
      </vt:variant>
      <vt:variant>
        <vt:i4>5</vt:i4>
      </vt:variant>
      <vt:variant>
        <vt:lpwstr>https://humanservices.arkansas.gov/wp-content/uploads/ProviderEnrol.doc</vt:lpwstr>
      </vt:variant>
      <vt:variant>
        <vt:lpwstr/>
      </vt:variant>
      <vt:variant>
        <vt:i4>2621492</vt:i4>
      </vt:variant>
      <vt:variant>
        <vt:i4>135</vt:i4>
      </vt:variant>
      <vt:variant>
        <vt:i4>0</vt:i4>
      </vt:variant>
      <vt:variant>
        <vt:i4>5</vt:i4>
      </vt:variant>
      <vt:variant>
        <vt:lpwstr>https://humanservices.arkansas.gov/wp-content/uploads/ApplicationPacket.pdf</vt:lpwstr>
      </vt:variant>
      <vt:variant>
        <vt:lpwstr/>
      </vt:variant>
      <vt:variant>
        <vt:i4>1572916</vt:i4>
      </vt:variant>
      <vt:variant>
        <vt:i4>131</vt:i4>
      </vt:variant>
      <vt:variant>
        <vt:i4>0</vt:i4>
      </vt:variant>
      <vt:variant>
        <vt:i4>5</vt:i4>
      </vt:variant>
      <vt:variant>
        <vt:lpwstr/>
      </vt:variant>
      <vt:variant>
        <vt:lpwstr>_Toc121739736</vt:lpwstr>
      </vt:variant>
      <vt:variant>
        <vt:i4>1572916</vt:i4>
      </vt:variant>
      <vt:variant>
        <vt:i4>128</vt:i4>
      </vt:variant>
      <vt:variant>
        <vt:i4>0</vt:i4>
      </vt:variant>
      <vt:variant>
        <vt:i4>5</vt:i4>
      </vt:variant>
      <vt:variant>
        <vt:lpwstr/>
      </vt:variant>
      <vt:variant>
        <vt:lpwstr>_Toc121739735</vt:lpwstr>
      </vt:variant>
      <vt:variant>
        <vt:i4>1572916</vt:i4>
      </vt:variant>
      <vt:variant>
        <vt:i4>125</vt:i4>
      </vt:variant>
      <vt:variant>
        <vt:i4>0</vt:i4>
      </vt:variant>
      <vt:variant>
        <vt:i4>5</vt:i4>
      </vt:variant>
      <vt:variant>
        <vt:lpwstr/>
      </vt:variant>
      <vt:variant>
        <vt:lpwstr>_Toc121739734</vt:lpwstr>
      </vt:variant>
      <vt:variant>
        <vt:i4>1572916</vt:i4>
      </vt:variant>
      <vt:variant>
        <vt:i4>122</vt:i4>
      </vt:variant>
      <vt:variant>
        <vt:i4>0</vt:i4>
      </vt:variant>
      <vt:variant>
        <vt:i4>5</vt:i4>
      </vt:variant>
      <vt:variant>
        <vt:lpwstr/>
      </vt:variant>
      <vt:variant>
        <vt:lpwstr>_Toc121739733</vt:lpwstr>
      </vt:variant>
      <vt:variant>
        <vt:i4>1572916</vt:i4>
      </vt:variant>
      <vt:variant>
        <vt:i4>119</vt:i4>
      </vt:variant>
      <vt:variant>
        <vt:i4>0</vt:i4>
      </vt:variant>
      <vt:variant>
        <vt:i4>5</vt:i4>
      </vt:variant>
      <vt:variant>
        <vt:lpwstr/>
      </vt:variant>
      <vt:variant>
        <vt:lpwstr>_Toc121739732</vt:lpwstr>
      </vt:variant>
      <vt:variant>
        <vt:i4>1572916</vt:i4>
      </vt:variant>
      <vt:variant>
        <vt:i4>116</vt:i4>
      </vt:variant>
      <vt:variant>
        <vt:i4>0</vt:i4>
      </vt:variant>
      <vt:variant>
        <vt:i4>5</vt:i4>
      </vt:variant>
      <vt:variant>
        <vt:lpwstr/>
      </vt:variant>
      <vt:variant>
        <vt:lpwstr>_Toc121739731</vt:lpwstr>
      </vt:variant>
      <vt:variant>
        <vt:i4>1572916</vt:i4>
      </vt:variant>
      <vt:variant>
        <vt:i4>113</vt:i4>
      </vt:variant>
      <vt:variant>
        <vt:i4>0</vt:i4>
      </vt:variant>
      <vt:variant>
        <vt:i4>5</vt:i4>
      </vt:variant>
      <vt:variant>
        <vt:lpwstr/>
      </vt:variant>
      <vt:variant>
        <vt:lpwstr>_Toc121739730</vt:lpwstr>
      </vt:variant>
      <vt:variant>
        <vt:i4>1638452</vt:i4>
      </vt:variant>
      <vt:variant>
        <vt:i4>110</vt:i4>
      </vt:variant>
      <vt:variant>
        <vt:i4>0</vt:i4>
      </vt:variant>
      <vt:variant>
        <vt:i4>5</vt:i4>
      </vt:variant>
      <vt:variant>
        <vt:lpwstr/>
      </vt:variant>
      <vt:variant>
        <vt:lpwstr>_Toc121739729</vt:lpwstr>
      </vt:variant>
      <vt:variant>
        <vt:i4>1638452</vt:i4>
      </vt:variant>
      <vt:variant>
        <vt:i4>107</vt:i4>
      </vt:variant>
      <vt:variant>
        <vt:i4>0</vt:i4>
      </vt:variant>
      <vt:variant>
        <vt:i4>5</vt:i4>
      </vt:variant>
      <vt:variant>
        <vt:lpwstr/>
      </vt:variant>
      <vt:variant>
        <vt:lpwstr>_Toc121739728</vt:lpwstr>
      </vt:variant>
      <vt:variant>
        <vt:i4>1638452</vt:i4>
      </vt:variant>
      <vt:variant>
        <vt:i4>104</vt:i4>
      </vt:variant>
      <vt:variant>
        <vt:i4>0</vt:i4>
      </vt:variant>
      <vt:variant>
        <vt:i4>5</vt:i4>
      </vt:variant>
      <vt:variant>
        <vt:lpwstr/>
      </vt:variant>
      <vt:variant>
        <vt:lpwstr>_Toc121739727</vt:lpwstr>
      </vt:variant>
      <vt:variant>
        <vt:i4>1638452</vt:i4>
      </vt:variant>
      <vt:variant>
        <vt:i4>101</vt:i4>
      </vt:variant>
      <vt:variant>
        <vt:i4>0</vt:i4>
      </vt:variant>
      <vt:variant>
        <vt:i4>5</vt:i4>
      </vt:variant>
      <vt:variant>
        <vt:lpwstr/>
      </vt:variant>
      <vt:variant>
        <vt:lpwstr>_Toc121739726</vt:lpwstr>
      </vt:variant>
      <vt:variant>
        <vt:i4>1638452</vt:i4>
      </vt:variant>
      <vt:variant>
        <vt:i4>98</vt:i4>
      </vt:variant>
      <vt:variant>
        <vt:i4>0</vt:i4>
      </vt:variant>
      <vt:variant>
        <vt:i4>5</vt:i4>
      </vt:variant>
      <vt:variant>
        <vt:lpwstr/>
      </vt:variant>
      <vt:variant>
        <vt:lpwstr>_Toc121739725</vt:lpwstr>
      </vt:variant>
      <vt:variant>
        <vt:i4>1638452</vt:i4>
      </vt:variant>
      <vt:variant>
        <vt:i4>95</vt:i4>
      </vt:variant>
      <vt:variant>
        <vt:i4>0</vt:i4>
      </vt:variant>
      <vt:variant>
        <vt:i4>5</vt:i4>
      </vt:variant>
      <vt:variant>
        <vt:lpwstr/>
      </vt:variant>
      <vt:variant>
        <vt:lpwstr>_Toc121739724</vt:lpwstr>
      </vt:variant>
      <vt:variant>
        <vt:i4>1638452</vt:i4>
      </vt:variant>
      <vt:variant>
        <vt:i4>92</vt:i4>
      </vt:variant>
      <vt:variant>
        <vt:i4>0</vt:i4>
      </vt:variant>
      <vt:variant>
        <vt:i4>5</vt:i4>
      </vt:variant>
      <vt:variant>
        <vt:lpwstr/>
      </vt:variant>
      <vt:variant>
        <vt:lpwstr>_Toc121739723</vt:lpwstr>
      </vt:variant>
      <vt:variant>
        <vt:i4>1638452</vt:i4>
      </vt:variant>
      <vt:variant>
        <vt:i4>89</vt:i4>
      </vt:variant>
      <vt:variant>
        <vt:i4>0</vt:i4>
      </vt:variant>
      <vt:variant>
        <vt:i4>5</vt:i4>
      </vt:variant>
      <vt:variant>
        <vt:lpwstr/>
      </vt:variant>
      <vt:variant>
        <vt:lpwstr>_Toc121739722</vt:lpwstr>
      </vt:variant>
      <vt:variant>
        <vt:i4>1638452</vt:i4>
      </vt:variant>
      <vt:variant>
        <vt:i4>86</vt:i4>
      </vt:variant>
      <vt:variant>
        <vt:i4>0</vt:i4>
      </vt:variant>
      <vt:variant>
        <vt:i4>5</vt:i4>
      </vt:variant>
      <vt:variant>
        <vt:lpwstr/>
      </vt:variant>
      <vt:variant>
        <vt:lpwstr>_Toc121739721</vt:lpwstr>
      </vt:variant>
      <vt:variant>
        <vt:i4>1638452</vt:i4>
      </vt:variant>
      <vt:variant>
        <vt:i4>83</vt:i4>
      </vt:variant>
      <vt:variant>
        <vt:i4>0</vt:i4>
      </vt:variant>
      <vt:variant>
        <vt:i4>5</vt:i4>
      </vt:variant>
      <vt:variant>
        <vt:lpwstr/>
      </vt:variant>
      <vt:variant>
        <vt:lpwstr>_Toc121739720</vt:lpwstr>
      </vt:variant>
      <vt:variant>
        <vt:i4>1703988</vt:i4>
      </vt:variant>
      <vt:variant>
        <vt:i4>80</vt:i4>
      </vt:variant>
      <vt:variant>
        <vt:i4>0</vt:i4>
      </vt:variant>
      <vt:variant>
        <vt:i4>5</vt:i4>
      </vt:variant>
      <vt:variant>
        <vt:lpwstr/>
      </vt:variant>
      <vt:variant>
        <vt:lpwstr>_Toc121739719</vt:lpwstr>
      </vt:variant>
      <vt:variant>
        <vt:i4>1703988</vt:i4>
      </vt:variant>
      <vt:variant>
        <vt:i4>77</vt:i4>
      </vt:variant>
      <vt:variant>
        <vt:i4>0</vt:i4>
      </vt:variant>
      <vt:variant>
        <vt:i4>5</vt:i4>
      </vt:variant>
      <vt:variant>
        <vt:lpwstr/>
      </vt:variant>
      <vt:variant>
        <vt:lpwstr>_Toc121739718</vt:lpwstr>
      </vt:variant>
      <vt:variant>
        <vt:i4>1703988</vt:i4>
      </vt:variant>
      <vt:variant>
        <vt:i4>74</vt:i4>
      </vt:variant>
      <vt:variant>
        <vt:i4>0</vt:i4>
      </vt:variant>
      <vt:variant>
        <vt:i4>5</vt:i4>
      </vt:variant>
      <vt:variant>
        <vt:lpwstr/>
      </vt:variant>
      <vt:variant>
        <vt:lpwstr>_Toc121739717</vt:lpwstr>
      </vt:variant>
      <vt:variant>
        <vt:i4>1703988</vt:i4>
      </vt:variant>
      <vt:variant>
        <vt:i4>71</vt:i4>
      </vt:variant>
      <vt:variant>
        <vt:i4>0</vt:i4>
      </vt:variant>
      <vt:variant>
        <vt:i4>5</vt:i4>
      </vt:variant>
      <vt:variant>
        <vt:lpwstr/>
      </vt:variant>
      <vt:variant>
        <vt:lpwstr>_Toc121739716</vt:lpwstr>
      </vt:variant>
      <vt:variant>
        <vt:i4>1703988</vt:i4>
      </vt:variant>
      <vt:variant>
        <vt:i4>68</vt:i4>
      </vt:variant>
      <vt:variant>
        <vt:i4>0</vt:i4>
      </vt:variant>
      <vt:variant>
        <vt:i4>5</vt:i4>
      </vt:variant>
      <vt:variant>
        <vt:lpwstr/>
      </vt:variant>
      <vt:variant>
        <vt:lpwstr>_Toc121739715</vt:lpwstr>
      </vt:variant>
      <vt:variant>
        <vt:i4>1703988</vt:i4>
      </vt:variant>
      <vt:variant>
        <vt:i4>65</vt:i4>
      </vt:variant>
      <vt:variant>
        <vt:i4>0</vt:i4>
      </vt:variant>
      <vt:variant>
        <vt:i4>5</vt:i4>
      </vt:variant>
      <vt:variant>
        <vt:lpwstr/>
      </vt:variant>
      <vt:variant>
        <vt:lpwstr>_Toc121739714</vt:lpwstr>
      </vt:variant>
      <vt:variant>
        <vt:i4>1703988</vt:i4>
      </vt:variant>
      <vt:variant>
        <vt:i4>62</vt:i4>
      </vt:variant>
      <vt:variant>
        <vt:i4>0</vt:i4>
      </vt:variant>
      <vt:variant>
        <vt:i4>5</vt:i4>
      </vt:variant>
      <vt:variant>
        <vt:lpwstr/>
      </vt:variant>
      <vt:variant>
        <vt:lpwstr>_Toc121739713</vt:lpwstr>
      </vt:variant>
      <vt:variant>
        <vt:i4>1703988</vt:i4>
      </vt:variant>
      <vt:variant>
        <vt:i4>59</vt:i4>
      </vt:variant>
      <vt:variant>
        <vt:i4>0</vt:i4>
      </vt:variant>
      <vt:variant>
        <vt:i4>5</vt:i4>
      </vt:variant>
      <vt:variant>
        <vt:lpwstr/>
      </vt:variant>
      <vt:variant>
        <vt:lpwstr>_Toc121739712</vt:lpwstr>
      </vt:variant>
      <vt:variant>
        <vt:i4>1703988</vt:i4>
      </vt:variant>
      <vt:variant>
        <vt:i4>56</vt:i4>
      </vt:variant>
      <vt:variant>
        <vt:i4>0</vt:i4>
      </vt:variant>
      <vt:variant>
        <vt:i4>5</vt:i4>
      </vt:variant>
      <vt:variant>
        <vt:lpwstr/>
      </vt:variant>
      <vt:variant>
        <vt:lpwstr>_Toc121739711</vt:lpwstr>
      </vt:variant>
      <vt:variant>
        <vt:i4>1703988</vt:i4>
      </vt:variant>
      <vt:variant>
        <vt:i4>53</vt:i4>
      </vt:variant>
      <vt:variant>
        <vt:i4>0</vt:i4>
      </vt:variant>
      <vt:variant>
        <vt:i4>5</vt:i4>
      </vt:variant>
      <vt:variant>
        <vt:lpwstr/>
      </vt:variant>
      <vt:variant>
        <vt:lpwstr>_Toc121739710</vt:lpwstr>
      </vt:variant>
      <vt:variant>
        <vt:i4>1769524</vt:i4>
      </vt:variant>
      <vt:variant>
        <vt:i4>50</vt:i4>
      </vt:variant>
      <vt:variant>
        <vt:i4>0</vt:i4>
      </vt:variant>
      <vt:variant>
        <vt:i4>5</vt:i4>
      </vt:variant>
      <vt:variant>
        <vt:lpwstr/>
      </vt:variant>
      <vt:variant>
        <vt:lpwstr>_Toc121739709</vt:lpwstr>
      </vt:variant>
      <vt:variant>
        <vt:i4>1769524</vt:i4>
      </vt:variant>
      <vt:variant>
        <vt:i4>47</vt:i4>
      </vt:variant>
      <vt:variant>
        <vt:i4>0</vt:i4>
      </vt:variant>
      <vt:variant>
        <vt:i4>5</vt:i4>
      </vt:variant>
      <vt:variant>
        <vt:lpwstr/>
      </vt:variant>
      <vt:variant>
        <vt:lpwstr>_Toc121739708</vt:lpwstr>
      </vt:variant>
      <vt:variant>
        <vt:i4>1769524</vt:i4>
      </vt:variant>
      <vt:variant>
        <vt:i4>44</vt:i4>
      </vt:variant>
      <vt:variant>
        <vt:i4>0</vt:i4>
      </vt:variant>
      <vt:variant>
        <vt:i4>5</vt:i4>
      </vt:variant>
      <vt:variant>
        <vt:lpwstr/>
      </vt:variant>
      <vt:variant>
        <vt:lpwstr>_Toc121739707</vt:lpwstr>
      </vt:variant>
      <vt:variant>
        <vt:i4>1769524</vt:i4>
      </vt:variant>
      <vt:variant>
        <vt:i4>41</vt:i4>
      </vt:variant>
      <vt:variant>
        <vt:i4>0</vt:i4>
      </vt:variant>
      <vt:variant>
        <vt:i4>5</vt:i4>
      </vt:variant>
      <vt:variant>
        <vt:lpwstr/>
      </vt:variant>
      <vt:variant>
        <vt:lpwstr>_Toc121739706</vt:lpwstr>
      </vt:variant>
      <vt:variant>
        <vt:i4>1769524</vt:i4>
      </vt:variant>
      <vt:variant>
        <vt:i4>38</vt:i4>
      </vt:variant>
      <vt:variant>
        <vt:i4>0</vt:i4>
      </vt:variant>
      <vt:variant>
        <vt:i4>5</vt:i4>
      </vt:variant>
      <vt:variant>
        <vt:lpwstr/>
      </vt:variant>
      <vt:variant>
        <vt:lpwstr>_Toc121739705</vt:lpwstr>
      </vt:variant>
      <vt:variant>
        <vt:i4>1769524</vt:i4>
      </vt:variant>
      <vt:variant>
        <vt:i4>35</vt:i4>
      </vt:variant>
      <vt:variant>
        <vt:i4>0</vt:i4>
      </vt:variant>
      <vt:variant>
        <vt:i4>5</vt:i4>
      </vt:variant>
      <vt:variant>
        <vt:lpwstr/>
      </vt:variant>
      <vt:variant>
        <vt:lpwstr>_Toc121739704</vt:lpwstr>
      </vt:variant>
      <vt:variant>
        <vt:i4>1769524</vt:i4>
      </vt:variant>
      <vt:variant>
        <vt:i4>32</vt:i4>
      </vt:variant>
      <vt:variant>
        <vt:i4>0</vt:i4>
      </vt:variant>
      <vt:variant>
        <vt:i4>5</vt:i4>
      </vt:variant>
      <vt:variant>
        <vt:lpwstr/>
      </vt:variant>
      <vt:variant>
        <vt:lpwstr>_Toc121739703</vt:lpwstr>
      </vt:variant>
      <vt:variant>
        <vt:i4>1769524</vt:i4>
      </vt:variant>
      <vt:variant>
        <vt:i4>29</vt:i4>
      </vt:variant>
      <vt:variant>
        <vt:i4>0</vt:i4>
      </vt:variant>
      <vt:variant>
        <vt:i4>5</vt:i4>
      </vt:variant>
      <vt:variant>
        <vt:lpwstr/>
      </vt:variant>
      <vt:variant>
        <vt:lpwstr>_Toc121739702</vt:lpwstr>
      </vt:variant>
      <vt:variant>
        <vt:i4>1769524</vt:i4>
      </vt:variant>
      <vt:variant>
        <vt:i4>26</vt:i4>
      </vt:variant>
      <vt:variant>
        <vt:i4>0</vt:i4>
      </vt:variant>
      <vt:variant>
        <vt:i4>5</vt:i4>
      </vt:variant>
      <vt:variant>
        <vt:lpwstr/>
      </vt:variant>
      <vt:variant>
        <vt:lpwstr>_Toc121739701</vt:lpwstr>
      </vt:variant>
      <vt:variant>
        <vt:i4>1769524</vt:i4>
      </vt:variant>
      <vt:variant>
        <vt:i4>23</vt:i4>
      </vt:variant>
      <vt:variant>
        <vt:i4>0</vt:i4>
      </vt:variant>
      <vt:variant>
        <vt:i4>5</vt:i4>
      </vt:variant>
      <vt:variant>
        <vt:lpwstr/>
      </vt:variant>
      <vt:variant>
        <vt:lpwstr>_Toc121739700</vt:lpwstr>
      </vt:variant>
      <vt:variant>
        <vt:i4>1179701</vt:i4>
      </vt:variant>
      <vt:variant>
        <vt:i4>20</vt:i4>
      </vt:variant>
      <vt:variant>
        <vt:i4>0</vt:i4>
      </vt:variant>
      <vt:variant>
        <vt:i4>5</vt:i4>
      </vt:variant>
      <vt:variant>
        <vt:lpwstr/>
      </vt:variant>
      <vt:variant>
        <vt:lpwstr>_Toc121739699</vt:lpwstr>
      </vt:variant>
      <vt:variant>
        <vt:i4>1179701</vt:i4>
      </vt:variant>
      <vt:variant>
        <vt:i4>17</vt:i4>
      </vt:variant>
      <vt:variant>
        <vt:i4>0</vt:i4>
      </vt:variant>
      <vt:variant>
        <vt:i4>5</vt:i4>
      </vt:variant>
      <vt:variant>
        <vt:lpwstr/>
      </vt:variant>
      <vt:variant>
        <vt:lpwstr>_Toc121739698</vt:lpwstr>
      </vt:variant>
      <vt:variant>
        <vt:i4>1179701</vt:i4>
      </vt:variant>
      <vt:variant>
        <vt:i4>14</vt:i4>
      </vt:variant>
      <vt:variant>
        <vt:i4>0</vt:i4>
      </vt:variant>
      <vt:variant>
        <vt:i4>5</vt:i4>
      </vt:variant>
      <vt:variant>
        <vt:lpwstr/>
      </vt:variant>
      <vt:variant>
        <vt:lpwstr>_Toc121739697</vt:lpwstr>
      </vt:variant>
      <vt:variant>
        <vt:i4>1179701</vt:i4>
      </vt:variant>
      <vt:variant>
        <vt:i4>11</vt:i4>
      </vt:variant>
      <vt:variant>
        <vt:i4>0</vt:i4>
      </vt:variant>
      <vt:variant>
        <vt:i4>5</vt:i4>
      </vt:variant>
      <vt:variant>
        <vt:lpwstr/>
      </vt:variant>
      <vt:variant>
        <vt:lpwstr>_Toc121739696</vt:lpwstr>
      </vt:variant>
      <vt:variant>
        <vt:i4>1179701</vt:i4>
      </vt:variant>
      <vt:variant>
        <vt:i4>8</vt:i4>
      </vt:variant>
      <vt:variant>
        <vt:i4>0</vt:i4>
      </vt:variant>
      <vt:variant>
        <vt:i4>5</vt:i4>
      </vt:variant>
      <vt:variant>
        <vt:lpwstr/>
      </vt:variant>
      <vt:variant>
        <vt:lpwstr>_Toc121739695</vt:lpwstr>
      </vt:variant>
      <vt:variant>
        <vt:i4>1179701</vt:i4>
      </vt:variant>
      <vt:variant>
        <vt:i4>5</vt:i4>
      </vt:variant>
      <vt:variant>
        <vt:i4>0</vt:i4>
      </vt:variant>
      <vt:variant>
        <vt:i4>5</vt:i4>
      </vt:variant>
      <vt:variant>
        <vt:lpwstr/>
      </vt:variant>
      <vt:variant>
        <vt:lpwstr>_Toc121739694</vt:lpwstr>
      </vt:variant>
      <vt:variant>
        <vt:i4>1179701</vt:i4>
      </vt:variant>
      <vt:variant>
        <vt:i4>2</vt:i4>
      </vt:variant>
      <vt:variant>
        <vt:i4>0</vt:i4>
      </vt:variant>
      <vt:variant>
        <vt:i4>5</vt:i4>
      </vt:variant>
      <vt:variant>
        <vt:lpwstr/>
      </vt:variant>
      <vt:variant>
        <vt:lpwstr>_Toc121739693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Hyperalimentation Section II</dc:title>
  <dc:subject/>
  <dc:creator/>
  <cp:keywords/>
  <cp:lastModifiedBy/>
  <cp:revision>1</cp:revision>
  <dcterms:created xsi:type="dcterms:W3CDTF">2025-05-27T14:22:00Z</dcterms:created>
  <dcterms:modified xsi:type="dcterms:W3CDTF">2025-05-27T14:22:00Z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