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5498979"/>
    <w:p w14:paraId="4F5C0FAF" w14:textId="77777777" w:rsidR="005D59A2" w:rsidRDefault="005D59A2" w:rsidP="005D59A2">
      <w:pPr>
        <w:pStyle w:val="TOC1"/>
        <w:rPr>
          <w:rFonts w:asciiTheme="minorHAnsi" w:eastAsiaTheme="minorEastAsia" w:hAnsiTheme="minorHAnsi" w:cstheme="minorBidi"/>
          <w:b w:val="0"/>
          <w:caps w:val="0"/>
          <w:color w:val="auto"/>
          <w:kern w:val="2"/>
          <w:sz w:val="24"/>
          <w:szCs w:val="24"/>
          <w14:ligatures w14:val="standardContextual"/>
        </w:rPr>
      </w:pPr>
      <w:r w:rsidRPr="007503EF">
        <w:fldChar w:fldCharType="begin"/>
      </w:r>
      <w:r w:rsidRPr="007503EF">
        <w:instrText xml:space="preserve"> TOC \o "1-9" \n \h \z \t "chead1,1,chead2,2" </w:instrText>
      </w:r>
      <w:r w:rsidRPr="007503EF">
        <w:fldChar w:fldCharType="separate"/>
      </w:r>
      <w:hyperlink w:anchor="_Toc201999097" w:history="1">
        <w:r w:rsidRPr="00741BDD">
          <w:rPr>
            <w:rStyle w:val="Hyperlink"/>
          </w:rPr>
          <w:t>200.000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CERTIFIED NURSE-MIDWIFE GENERAL INFORMATION</w:t>
        </w:r>
      </w:hyperlink>
    </w:p>
    <w:p w14:paraId="19D27E8C"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098" w:history="1">
        <w:r w:rsidRPr="00741BDD">
          <w:rPr>
            <w:rStyle w:val="Hyperlink"/>
          </w:rPr>
          <w:t>201.000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3B4D8FC2"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099" w:history="1">
        <w:r w:rsidRPr="00741BDD">
          <w:rPr>
            <w:rStyle w:val="Hyperlink"/>
          </w:rPr>
          <w:t>202.000</w:t>
        </w:r>
        <w:r>
          <w:rPr>
            <w:rFonts w:asciiTheme="minorHAnsi" w:eastAsiaTheme="minorEastAsia" w:hAnsiTheme="minorHAnsi" w:cstheme="minorBidi"/>
            <w:kern w:val="2"/>
            <w:sz w:val="24"/>
            <w:szCs w:val="24"/>
            <w14:ligatures w14:val="standardContextual"/>
          </w:rPr>
          <w:tab/>
        </w:r>
        <w:r w:rsidRPr="00741BDD">
          <w:rPr>
            <w:rStyle w:val="Hyperlink"/>
          </w:rPr>
          <w:t>Arkansas Medicaid Participation Requirements for Certified Nurse-Midwife Providers</w:t>
        </w:r>
      </w:hyperlink>
    </w:p>
    <w:p w14:paraId="2990E99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0" w:history="1">
        <w:r w:rsidRPr="00741BDD">
          <w:rPr>
            <w:rStyle w:val="Hyperlink"/>
          </w:rPr>
          <w:t>202.001</w:t>
        </w:r>
        <w:r>
          <w:rPr>
            <w:rFonts w:asciiTheme="minorHAnsi" w:eastAsiaTheme="minorEastAsia" w:hAnsiTheme="minorHAnsi" w:cstheme="minorBidi"/>
            <w:kern w:val="2"/>
            <w:sz w:val="24"/>
            <w:szCs w:val="24"/>
            <w14:ligatures w14:val="standardContextual"/>
          </w:rPr>
          <w:tab/>
        </w:r>
        <w:r w:rsidRPr="00741BDD">
          <w:rPr>
            <w:rStyle w:val="Hyperlink"/>
          </w:rPr>
          <w:t>Electronic Signatures</w:t>
        </w:r>
      </w:hyperlink>
    </w:p>
    <w:p w14:paraId="375DC661"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1" w:history="1">
        <w:r w:rsidRPr="00741BDD">
          <w:rPr>
            <w:rStyle w:val="Hyperlink"/>
          </w:rPr>
          <w:t>202.100</w:t>
        </w:r>
        <w:r>
          <w:rPr>
            <w:rFonts w:asciiTheme="minorHAnsi" w:eastAsiaTheme="minorEastAsia" w:hAnsiTheme="minorHAnsi" w:cstheme="minorBidi"/>
            <w:kern w:val="2"/>
            <w:sz w:val="24"/>
            <w:szCs w:val="24"/>
            <w14:ligatures w14:val="standardContextual"/>
          </w:rPr>
          <w:tab/>
        </w:r>
        <w:r w:rsidRPr="00741BDD">
          <w:rPr>
            <w:rStyle w:val="Hyperlink"/>
          </w:rPr>
          <w:t>Group Providers of Certified Nurse-Midwife Services</w:t>
        </w:r>
      </w:hyperlink>
    </w:p>
    <w:p w14:paraId="23905B7F"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2" w:history="1">
        <w:r w:rsidRPr="00741BDD">
          <w:rPr>
            <w:rStyle w:val="Hyperlink"/>
          </w:rPr>
          <w:t>202.200</w:t>
        </w:r>
        <w:r>
          <w:rPr>
            <w:rFonts w:asciiTheme="minorHAnsi" w:eastAsiaTheme="minorEastAsia" w:hAnsiTheme="minorHAnsi" w:cstheme="minorBidi"/>
            <w:kern w:val="2"/>
            <w:sz w:val="24"/>
            <w:szCs w:val="24"/>
            <w14:ligatures w14:val="standardContextual"/>
          </w:rPr>
          <w:tab/>
        </w:r>
        <w:r w:rsidRPr="00741BDD">
          <w:rPr>
            <w:rStyle w:val="Hyperlink"/>
          </w:rPr>
          <w:t>Providers in Arkansas and Bordering States</w:t>
        </w:r>
      </w:hyperlink>
    </w:p>
    <w:p w14:paraId="7412CBF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3" w:history="1">
        <w:r w:rsidRPr="00741BDD">
          <w:rPr>
            <w:rStyle w:val="Hyperlink"/>
          </w:rPr>
          <w:t>202.210</w:t>
        </w:r>
        <w:r>
          <w:rPr>
            <w:rFonts w:asciiTheme="minorHAnsi" w:eastAsiaTheme="minorEastAsia" w:hAnsiTheme="minorHAnsi" w:cstheme="minorBidi"/>
            <w:kern w:val="2"/>
            <w:sz w:val="24"/>
            <w:szCs w:val="24"/>
            <w14:ligatures w14:val="standardContextual"/>
          </w:rPr>
          <w:tab/>
        </w:r>
        <w:r w:rsidRPr="00741BDD">
          <w:rPr>
            <w:rStyle w:val="Hyperlink"/>
          </w:rPr>
          <w:t>Routine Services Provider</w:t>
        </w:r>
      </w:hyperlink>
    </w:p>
    <w:p w14:paraId="10277862"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4" w:history="1">
        <w:r w:rsidRPr="00741BDD">
          <w:rPr>
            <w:rStyle w:val="Hyperlink"/>
          </w:rPr>
          <w:t>202.300</w:t>
        </w:r>
        <w:r>
          <w:rPr>
            <w:rFonts w:asciiTheme="minorHAnsi" w:eastAsiaTheme="minorEastAsia" w:hAnsiTheme="minorHAnsi" w:cstheme="minorBidi"/>
            <w:kern w:val="2"/>
            <w:sz w:val="24"/>
            <w:szCs w:val="24"/>
            <w14:ligatures w14:val="standardContextual"/>
          </w:rPr>
          <w:tab/>
        </w:r>
        <w:r w:rsidRPr="00741BDD">
          <w:rPr>
            <w:rStyle w:val="Hyperlink"/>
          </w:rPr>
          <w:t>Certified Nurse-Midwives in States Not Bordering Arkansas</w:t>
        </w:r>
      </w:hyperlink>
    </w:p>
    <w:p w14:paraId="5541FD2D"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5" w:history="1">
        <w:r w:rsidRPr="00741BDD">
          <w:rPr>
            <w:rStyle w:val="Hyperlink"/>
          </w:rPr>
          <w:t>202.310</w:t>
        </w:r>
        <w:r>
          <w:rPr>
            <w:rFonts w:asciiTheme="minorHAnsi" w:eastAsiaTheme="minorEastAsia" w:hAnsiTheme="minorHAnsi" w:cstheme="minorBidi"/>
            <w:kern w:val="2"/>
            <w:sz w:val="24"/>
            <w:szCs w:val="24"/>
            <w14:ligatures w14:val="standardContextual"/>
          </w:rPr>
          <w:tab/>
        </w:r>
        <w:r w:rsidRPr="00741BDD">
          <w:rPr>
            <w:rStyle w:val="Hyperlink"/>
          </w:rPr>
          <w:t>Limited Services Provider</w:t>
        </w:r>
      </w:hyperlink>
    </w:p>
    <w:p w14:paraId="5F9A7C51"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6" w:history="1">
        <w:r w:rsidRPr="00741BDD">
          <w:rPr>
            <w:rStyle w:val="Hyperlink"/>
          </w:rPr>
          <w:t>203.000</w:t>
        </w:r>
        <w:r>
          <w:rPr>
            <w:rFonts w:asciiTheme="minorHAnsi" w:eastAsiaTheme="minorEastAsia" w:hAnsiTheme="minorHAnsi" w:cstheme="minorBidi"/>
            <w:kern w:val="2"/>
            <w:sz w:val="24"/>
            <w:szCs w:val="24"/>
            <w14:ligatures w14:val="standardContextual"/>
          </w:rPr>
          <w:tab/>
        </w:r>
        <w:r w:rsidRPr="00741BDD">
          <w:rPr>
            <w:rStyle w:val="Hyperlink"/>
          </w:rPr>
          <w:t>Required Medical Records</w:t>
        </w:r>
      </w:hyperlink>
    </w:p>
    <w:p w14:paraId="44A0088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7" w:history="1">
        <w:r w:rsidRPr="00741BDD">
          <w:rPr>
            <w:rStyle w:val="Hyperlink"/>
          </w:rPr>
          <w:t>204.000</w:t>
        </w:r>
        <w:r>
          <w:rPr>
            <w:rFonts w:asciiTheme="minorHAnsi" w:eastAsiaTheme="minorEastAsia" w:hAnsiTheme="minorHAnsi" w:cstheme="minorBidi"/>
            <w:kern w:val="2"/>
            <w:sz w:val="24"/>
            <w:szCs w:val="24"/>
            <w14:ligatures w14:val="standardContextual"/>
          </w:rPr>
          <w:tab/>
        </w:r>
        <w:r w:rsidRPr="00741BDD">
          <w:rPr>
            <w:rStyle w:val="Hyperlink"/>
          </w:rPr>
          <w:t>Ambulance Services</w:t>
        </w:r>
      </w:hyperlink>
    </w:p>
    <w:p w14:paraId="4A7388AB"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8" w:history="1">
        <w:r w:rsidRPr="00741BDD">
          <w:rPr>
            <w:rStyle w:val="Hyperlink"/>
          </w:rPr>
          <w:t>204.100</w:t>
        </w:r>
        <w:r>
          <w:rPr>
            <w:rFonts w:asciiTheme="minorHAnsi" w:eastAsiaTheme="minorEastAsia" w:hAnsiTheme="minorHAnsi" w:cstheme="minorBidi"/>
            <w:kern w:val="2"/>
            <w:sz w:val="24"/>
            <w:szCs w:val="24"/>
            <w14:ligatures w14:val="standardContextual"/>
          </w:rPr>
          <w:tab/>
        </w:r>
        <w:r w:rsidRPr="00741BDD">
          <w:rPr>
            <w:rStyle w:val="Hyperlink"/>
          </w:rPr>
          <w:t>Certified Nurse Midwife’s Role in Home Health Services</w:t>
        </w:r>
      </w:hyperlink>
    </w:p>
    <w:p w14:paraId="4D4EE45B"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09" w:history="1">
        <w:r w:rsidRPr="00741BDD">
          <w:rPr>
            <w:rStyle w:val="Hyperlink"/>
          </w:rPr>
          <w:t>204.101</w:t>
        </w:r>
        <w:r>
          <w:rPr>
            <w:rFonts w:asciiTheme="minorHAnsi" w:eastAsiaTheme="minorEastAsia" w:hAnsiTheme="minorHAnsi" w:cstheme="minorBidi"/>
            <w:kern w:val="2"/>
            <w:sz w:val="24"/>
            <w:szCs w:val="24"/>
            <w14:ligatures w14:val="standardContextual"/>
          </w:rPr>
          <w:tab/>
        </w:r>
        <w:r w:rsidRPr="00741BDD">
          <w:rPr>
            <w:rStyle w:val="Hyperlink"/>
          </w:rPr>
          <w:t>Documentation of Services</w:t>
        </w:r>
      </w:hyperlink>
    </w:p>
    <w:p w14:paraId="669B67E6"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10" w:history="1">
        <w:r w:rsidRPr="00741BDD">
          <w:rPr>
            <w:rStyle w:val="Hyperlink"/>
          </w:rPr>
          <w:t>204.102</w:t>
        </w:r>
        <w:r>
          <w:rPr>
            <w:rFonts w:asciiTheme="minorHAnsi" w:eastAsiaTheme="minorEastAsia" w:hAnsiTheme="minorHAnsi" w:cstheme="minorBidi"/>
            <w:kern w:val="2"/>
            <w:sz w:val="24"/>
            <w:szCs w:val="24"/>
            <w14:ligatures w14:val="standardContextual"/>
          </w:rPr>
          <w:tab/>
        </w:r>
        <w:r w:rsidRPr="00741BDD">
          <w:rPr>
            <w:rStyle w:val="Hyperlink"/>
          </w:rPr>
          <w:t>Plan of Care Review</w:t>
        </w:r>
      </w:hyperlink>
    </w:p>
    <w:p w14:paraId="72EDD18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11" w:history="1">
        <w:r w:rsidRPr="00741BDD">
          <w:rPr>
            <w:rStyle w:val="Hyperlink"/>
          </w:rPr>
          <w:t>204.103</w:t>
        </w:r>
        <w:r>
          <w:rPr>
            <w:rFonts w:asciiTheme="minorHAnsi" w:eastAsiaTheme="minorEastAsia" w:hAnsiTheme="minorHAnsi" w:cstheme="minorBidi"/>
            <w:kern w:val="2"/>
            <w:sz w:val="24"/>
            <w:szCs w:val="24"/>
            <w14:ligatures w14:val="standardContextual"/>
          </w:rPr>
          <w:tab/>
        </w:r>
        <w:r w:rsidRPr="00741BDD">
          <w:rPr>
            <w:rStyle w:val="Hyperlink"/>
          </w:rPr>
          <w:t>Home Health Place of Service</w:t>
        </w:r>
      </w:hyperlink>
    </w:p>
    <w:p w14:paraId="288BDBE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12" w:history="1">
        <w:r w:rsidRPr="00741BDD">
          <w:rPr>
            <w:rStyle w:val="Hyperlink"/>
          </w:rPr>
          <w:t>204.200</w:t>
        </w:r>
        <w:r>
          <w:rPr>
            <w:rFonts w:asciiTheme="minorHAnsi" w:eastAsiaTheme="minorEastAsia" w:hAnsiTheme="minorHAnsi" w:cstheme="minorBidi"/>
            <w:kern w:val="2"/>
            <w:sz w:val="24"/>
            <w:szCs w:val="24"/>
            <w14:ligatures w14:val="standardContextual"/>
          </w:rPr>
          <w:tab/>
        </w:r>
        <w:r w:rsidRPr="00741BDD">
          <w:rPr>
            <w:rStyle w:val="Hyperlink"/>
          </w:rPr>
          <w:t>Certified Nurse-Midwife’s Role in the Prescription Drug Program</w:t>
        </w:r>
      </w:hyperlink>
    </w:p>
    <w:p w14:paraId="187FAE58"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13" w:history="1">
        <w:r w:rsidRPr="00741BDD">
          <w:rPr>
            <w:rStyle w:val="Hyperlink"/>
          </w:rPr>
          <w:t>204.201</w:t>
        </w:r>
        <w:r>
          <w:rPr>
            <w:rFonts w:asciiTheme="minorHAnsi" w:eastAsiaTheme="minorEastAsia" w:hAnsiTheme="minorHAnsi" w:cstheme="minorBidi"/>
            <w:kern w:val="2"/>
            <w:sz w:val="24"/>
            <w:szCs w:val="24"/>
            <w14:ligatures w14:val="standardContextual"/>
          </w:rPr>
          <w:tab/>
        </w:r>
        <w:r w:rsidRPr="00741BDD">
          <w:rPr>
            <w:rStyle w:val="Hyperlink"/>
          </w:rPr>
          <w:t>Tamper Resistant Prescription Applications</w:t>
        </w:r>
      </w:hyperlink>
    </w:p>
    <w:p w14:paraId="75502AC0"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14" w:history="1">
        <w:r w:rsidRPr="00741BDD">
          <w:rPr>
            <w:rStyle w:val="Hyperlink"/>
          </w:rPr>
          <w:t>204.300</w:t>
        </w:r>
        <w:r>
          <w:rPr>
            <w:rFonts w:asciiTheme="minorHAnsi" w:eastAsiaTheme="minorEastAsia" w:hAnsiTheme="minorHAnsi" w:cstheme="minorBidi"/>
            <w:kern w:val="2"/>
            <w:sz w:val="24"/>
            <w:szCs w:val="24"/>
            <w14:ligatures w14:val="standardContextual"/>
          </w:rPr>
          <w:tab/>
        </w:r>
        <w:r w:rsidRPr="00741BDD">
          <w:rPr>
            <w:rStyle w:val="Hyperlink"/>
          </w:rPr>
          <w:t>Certified Nurse-Midwife’s Role in the Child Health Services (EPSDT) Program and ARKids First-B Program</w:t>
        </w:r>
      </w:hyperlink>
    </w:p>
    <w:p w14:paraId="1F84FE3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15" w:history="1">
        <w:r w:rsidRPr="00741BDD">
          <w:rPr>
            <w:rStyle w:val="Hyperlink"/>
          </w:rPr>
          <w:t>204.400</w:t>
        </w:r>
        <w:r>
          <w:rPr>
            <w:rFonts w:asciiTheme="minorHAnsi" w:eastAsiaTheme="minorEastAsia" w:hAnsiTheme="minorHAnsi" w:cstheme="minorBidi"/>
            <w:kern w:val="2"/>
            <w:sz w:val="24"/>
            <w:szCs w:val="24"/>
            <w14:ligatures w14:val="standardContextual"/>
          </w:rPr>
          <w:tab/>
        </w:r>
        <w:r w:rsidRPr="00741BDD">
          <w:rPr>
            <w:rStyle w:val="Hyperlink"/>
          </w:rPr>
          <w:t>Certified Nurse-Midwife’s Role in Hospital Services</w:t>
        </w:r>
      </w:hyperlink>
    </w:p>
    <w:p w14:paraId="4C193E33"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16" w:history="1">
        <w:r w:rsidRPr="00741BDD">
          <w:rPr>
            <w:rStyle w:val="Hyperlink"/>
          </w:rPr>
          <w:t>204.500</w:t>
        </w:r>
        <w:r>
          <w:rPr>
            <w:rFonts w:asciiTheme="minorHAnsi" w:eastAsiaTheme="minorEastAsia" w:hAnsiTheme="minorHAnsi" w:cstheme="minorBidi"/>
            <w:kern w:val="2"/>
            <w:sz w:val="24"/>
            <w:szCs w:val="24"/>
            <w14:ligatures w14:val="standardContextual"/>
          </w:rPr>
          <w:tab/>
        </w:r>
        <w:r w:rsidRPr="00741BDD">
          <w:rPr>
            <w:rStyle w:val="Hyperlink"/>
          </w:rPr>
          <w:t>Certified Nurse-Midwife’s Role in Preventing Program Abuse</w:t>
        </w:r>
      </w:hyperlink>
    </w:p>
    <w:p w14:paraId="7F740988"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17" w:history="1">
        <w:r w:rsidRPr="00741BDD">
          <w:rPr>
            <w:rStyle w:val="Hyperlink"/>
          </w:rPr>
          <w:t>205.000</w:t>
        </w:r>
        <w:r>
          <w:rPr>
            <w:rFonts w:asciiTheme="minorHAnsi" w:eastAsiaTheme="minorEastAsia" w:hAnsiTheme="minorHAnsi" w:cstheme="minorBidi"/>
            <w:kern w:val="2"/>
            <w:sz w:val="24"/>
            <w:szCs w:val="24"/>
            <w14:ligatures w14:val="standardContextual"/>
          </w:rPr>
          <w:tab/>
        </w:r>
        <w:r w:rsidRPr="00741BDD">
          <w:rPr>
            <w:rStyle w:val="Hyperlink"/>
          </w:rPr>
          <w:t>Role of Quality Improvement Organization</w:t>
        </w:r>
      </w:hyperlink>
    </w:p>
    <w:p w14:paraId="219EB2E6"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18" w:history="1">
        <w:r w:rsidRPr="00741BDD">
          <w:rPr>
            <w:rStyle w:val="Hyperlink"/>
          </w:rPr>
          <w:t>206.000</w:t>
        </w:r>
        <w:r>
          <w:rPr>
            <w:rFonts w:asciiTheme="minorHAnsi" w:eastAsiaTheme="minorEastAsia" w:hAnsiTheme="minorHAnsi" w:cstheme="minorBidi"/>
            <w:kern w:val="2"/>
            <w:sz w:val="24"/>
            <w:szCs w:val="24"/>
            <w14:ligatures w14:val="standardContextual"/>
          </w:rPr>
          <w:tab/>
        </w:r>
        <w:r w:rsidRPr="00741BDD">
          <w:rPr>
            <w:rStyle w:val="Hyperlink"/>
          </w:rPr>
          <w:t>Certified Nurse-Midwife’s “Direct Supervision”</w:t>
        </w:r>
      </w:hyperlink>
    </w:p>
    <w:p w14:paraId="6041EB35" w14:textId="77777777" w:rsidR="005D59A2" w:rsidRDefault="005D59A2" w:rsidP="005D59A2">
      <w:pPr>
        <w:pStyle w:val="TOC1"/>
        <w:rPr>
          <w:rFonts w:asciiTheme="minorHAnsi" w:eastAsiaTheme="minorEastAsia" w:hAnsiTheme="minorHAnsi" w:cstheme="minorBidi"/>
          <w:b w:val="0"/>
          <w:caps w:val="0"/>
          <w:color w:val="auto"/>
          <w:kern w:val="2"/>
          <w:sz w:val="24"/>
          <w:szCs w:val="24"/>
          <w14:ligatures w14:val="standardContextual"/>
        </w:rPr>
      </w:pPr>
      <w:hyperlink w:anchor="_Toc201999119" w:history="1">
        <w:r w:rsidRPr="00741BDD">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PROGRAM COVERAGE</w:t>
        </w:r>
      </w:hyperlink>
    </w:p>
    <w:p w14:paraId="5BE93F4C"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0" w:history="1">
        <w:r w:rsidRPr="00741BDD">
          <w:rPr>
            <w:rStyle w:val="Hyperlink"/>
          </w:rPr>
          <w:t>211.000</w:t>
        </w:r>
        <w:r>
          <w:rPr>
            <w:rFonts w:asciiTheme="minorHAnsi" w:eastAsiaTheme="minorEastAsia" w:hAnsiTheme="minorHAnsi" w:cstheme="minorBidi"/>
            <w:kern w:val="2"/>
            <w:sz w:val="24"/>
            <w:szCs w:val="24"/>
            <w14:ligatures w14:val="standardContextual"/>
          </w:rPr>
          <w:tab/>
        </w:r>
        <w:r w:rsidRPr="00741BDD">
          <w:rPr>
            <w:rStyle w:val="Hyperlink"/>
          </w:rPr>
          <w:t>Introduction</w:t>
        </w:r>
      </w:hyperlink>
    </w:p>
    <w:p w14:paraId="1E2E27CB"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1" w:history="1">
        <w:r w:rsidRPr="00741BDD">
          <w:rPr>
            <w:rStyle w:val="Hyperlink"/>
          </w:rPr>
          <w:t>212.000</w:t>
        </w:r>
        <w:r>
          <w:rPr>
            <w:rFonts w:asciiTheme="minorHAnsi" w:eastAsiaTheme="minorEastAsia" w:hAnsiTheme="minorHAnsi" w:cstheme="minorBidi"/>
            <w:kern w:val="2"/>
            <w:sz w:val="24"/>
            <w:szCs w:val="24"/>
            <w14:ligatures w14:val="standardContextual"/>
          </w:rPr>
          <w:tab/>
        </w:r>
        <w:r w:rsidRPr="00741BDD">
          <w:rPr>
            <w:rStyle w:val="Hyperlink"/>
          </w:rPr>
          <w:t>Scope</w:t>
        </w:r>
      </w:hyperlink>
    </w:p>
    <w:p w14:paraId="6BB960C6"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2" w:history="1">
        <w:r w:rsidRPr="00741BDD">
          <w:rPr>
            <w:rStyle w:val="Hyperlink"/>
          </w:rPr>
          <w:t>213.000</w:t>
        </w:r>
        <w:r>
          <w:rPr>
            <w:rFonts w:asciiTheme="minorHAnsi" w:eastAsiaTheme="minorEastAsia" w:hAnsiTheme="minorHAnsi" w:cstheme="minorBidi"/>
            <w:kern w:val="2"/>
            <w:sz w:val="24"/>
            <w:szCs w:val="24"/>
            <w14:ligatures w14:val="standardContextual"/>
          </w:rPr>
          <w:tab/>
        </w:r>
        <w:r w:rsidRPr="00741BDD">
          <w:rPr>
            <w:rStyle w:val="Hyperlink"/>
          </w:rPr>
          <w:t>Benefit Limits</w:t>
        </w:r>
      </w:hyperlink>
    </w:p>
    <w:p w14:paraId="41C2777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3" w:history="1">
        <w:r w:rsidRPr="00741BDD">
          <w:rPr>
            <w:rStyle w:val="Hyperlink"/>
          </w:rPr>
          <w:t>213.100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5C6D69CA"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4" w:history="1">
        <w:r w:rsidRPr="00741BDD">
          <w:rPr>
            <w:rStyle w:val="Hyperlink"/>
          </w:rPr>
          <w:t>213.110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6C80639D"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5" w:history="1">
        <w:r w:rsidRPr="00741BDD">
          <w:rPr>
            <w:rStyle w:val="Hyperlink"/>
          </w:rPr>
          <w:t>213.200</w:t>
        </w:r>
        <w:r>
          <w:rPr>
            <w:rFonts w:asciiTheme="minorHAnsi" w:eastAsiaTheme="minorEastAsia" w:hAnsiTheme="minorHAnsi" w:cstheme="minorBidi"/>
            <w:kern w:val="2"/>
            <w:sz w:val="24"/>
            <w:szCs w:val="24"/>
            <w14:ligatures w14:val="standardContextual"/>
          </w:rPr>
          <w:tab/>
        </w:r>
        <w:r w:rsidRPr="00741BDD">
          <w:rPr>
            <w:rStyle w:val="Hyperlink"/>
          </w:rPr>
          <w:t>Inpatient Hospital Services</w:t>
        </w:r>
      </w:hyperlink>
    </w:p>
    <w:p w14:paraId="147A7A32"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6" w:history="1">
        <w:r w:rsidRPr="00741BDD">
          <w:rPr>
            <w:rStyle w:val="Hyperlink"/>
          </w:rPr>
          <w:t>213.210</w:t>
        </w:r>
        <w:r>
          <w:rPr>
            <w:rFonts w:asciiTheme="minorHAnsi" w:eastAsiaTheme="minorEastAsia" w:hAnsiTheme="minorHAnsi" w:cstheme="minorBidi"/>
            <w:kern w:val="2"/>
            <w:sz w:val="24"/>
            <w:szCs w:val="24"/>
            <w14:ligatures w14:val="standardContextual"/>
          </w:rPr>
          <w:tab/>
        </w:r>
        <w:r w:rsidRPr="00741BDD">
          <w:rPr>
            <w:rStyle w:val="Hyperlink"/>
          </w:rPr>
          <w:t>Medicaid Utilization Management Program (MUMP)</w:t>
        </w:r>
      </w:hyperlink>
    </w:p>
    <w:p w14:paraId="39AE82E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7" w:history="1">
        <w:r w:rsidRPr="00741BDD">
          <w:rPr>
            <w:rStyle w:val="Hyperlink"/>
          </w:rPr>
          <w:t>213.220</w:t>
        </w:r>
        <w:r>
          <w:rPr>
            <w:rFonts w:asciiTheme="minorHAnsi" w:eastAsiaTheme="minorEastAsia" w:hAnsiTheme="minorHAnsi" w:cstheme="minorBidi"/>
            <w:kern w:val="2"/>
            <w:sz w:val="24"/>
            <w:szCs w:val="24"/>
            <w14:ligatures w14:val="standardContextual"/>
          </w:rPr>
          <w:tab/>
        </w:r>
        <w:r w:rsidRPr="00741BDD">
          <w:rPr>
            <w:rStyle w:val="Hyperlink"/>
          </w:rPr>
          <w:t>Benefit Limit – Inpatient Hospital Services</w:t>
        </w:r>
      </w:hyperlink>
    </w:p>
    <w:p w14:paraId="76E03D8A"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8" w:history="1">
        <w:r w:rsidRPr="00741BDD">
          <w:rPr>
            <w:rStyle w:val="Hyperlink"/>
          </w:rPr>
          <w:t>213.300</w:t>
        </w:r>
        <w:r>
          <w:rPr>
            <w:rFonts w:asciiTheme="minorHAnsi" w:eastAsiaTheme="minorEastAsia" w:hAnsiTheme="minorHAnsi" w:cstheme="minorBidi"/>
            <w:kern w:val="2"/>
            <w:sz w:val="24"/>
            <w:szCs w:val="24"/>
            <w14:ligatures w14:val="standardContextual"/>
          </w:rPr>
          <w:tab/>
        </w:r>
        <w:r w:rsidRPr="00741BDD">
          <w:rPr>
            <w:rStyle w:val="Hyperlink"/>
          </w:rPr>
          <w:t>Inpatient Certified Nurse-Midwife Services</w:t>
        </w:r>
      </w:hyperlink>
    </w:p>
    <w:p w14:paraId="13A5D9BC"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29" w:history="1">
        <w:r w:rsidRPr="00741BDD">
          <w:rPr>
            <w:rStyle w:val="Hyperlink"/>
          </w:rPr>
          <w:t>213.310</w:t>
        </w:r>
        <w:r>
          <w:rPr>
            <w:rFonts w:asciiTheme="minorHAnsi" w:eastAsiaTheme="minorEastAsia" w:hAnsiTheme="minorHAnsi" w:cstheme="minorBidi"/>
            <w:kern w:val="2"/>
            <w:sz w:val="24"/>
            <w:szCs w:val="24"/>
            <w14:ligatures w14:val="standardContextual"/>
          </w:rPr>
          <w:tab/>
        </w:r>
        <w:r w:rsidRPr="00741BDD">
          <w:rPr>
            <w:rStyle w:val="Hyperlink"/>
          </w:rPr>
          <w:t>Inpatient Evaluation and Management Services</w:t>
        </w:r>
      </w:hyperlink>
    </w:p>
    <w:p w14:paraId="5C9ECBD9"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0" w:history="1">
        <w:r w:rsidRPr="00741BDD">
          <w:rPr>
            <w:rStyle w:val="Hyperlink"/>
          </w:rPr>
          <w:t>213.320</w:t>
        </w:r>
        <w:r>
          <w:rPr>
            <w:rFonts w:asciiTheme="minorHAnsi" w:eastAsiaTheme="minorEastAsia" w:hAnsiTheme="minorHAnsi" w:cstheme="minorBidi"/>
            <w:kern w:val="2"/>
            <w:sz w:val="24"/>
            <w:szCs w:val="24"/>
            <w14:ligatures w14:val="standardContextual"/>
          </w:rPr>
          <w:tab/>
        </w:r>
        <w:r w:rsidRPr="00741BDD">
          <w:rPr>
            <w:rStyle w:val="Hyperlink"/>
          </w:rPr>
          <w:t>Professional Components of Diagnostic and Therapeutic Procedures</w:t>
        </w:r>
      </w:hyperlink>
    </w:p>
    <w:p w14:paraId="52FF39C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1" w:history="1">
        <w:r w:rsidRPr="00741BDD">
          <w:rPr>
            <w:rStyle w:val="Hyperlink"/>
          </w:rPr>
          <w:t>213.400</w:t>
        </w:r>
        <w:r>
          <w:rPr>
            <w:rFonts w:asciiTheme="minorHAnsi" w:eastAsiaTheme="minorEastAsia" w:hAnsiTheme="minorHAnsi" w:cstheme="minorBidi"/>
            <w:kern w:val="2"/>
            <w:sz w:val="24"/>
            <w:szCs w:val="24"/>
            <w14:ligatures w14:val="standardContextual"/>
          </w:rPr>
          <w:tab/>
        </w:r>
        <w:r w:rsidRPr="00741BDD">
          <w:rPr>
            <w:rStyle w:val="Hyperlink"/>
          </w:rPr>
          <w:t>Diagnostic Laboratory and Radiology/Other Services</w:t>
        </w:r>
      </w:hyperlink>
    </w:p>
    <w:p w14:paraId="245810A9"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2" w:history="1">
        <w:r w:rsidRPr="00741BDD">
          <w:rPr>
            <w:rStyle w:val="Hyperlink"/>
          </w:rPr>
          <w:t>213.410</w:t>
        </w:r>
        <w:r>
          <w:rPr>
            <w:rFonts w:asciiTheme="minorHAnsi" w:eastAsiaTheme="minorEastAsia" w:hAnsiTheme="minorHAnsi" w:cstheme="minorBidi"/>
            <w:kern w:val="2"/>
            <w:sz w:val="24"/>
            <w:szCs w:val="24"/>
            <w14:ligatures w14:val="standardContextual"/>
          </w:rPr>
          <w:tab/>
        </w:r>
        <w:r w:rsidRPr="00741BDD">
          <w:rPr>
            <w:rStyle w:val="Hyperlink"/>
          </w:rPr>
          <w:t>Diagnostic Laboratory and Radiology Other Services Benefit Limits</w:t>
        </w:r>
      </w:hyperlink>
    </w:p>
    <w:p w14:paraId="6183F1EB"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3" w:history="1">
        <w:r w:rsidRPr="00741BDD">
          <w:rPr>
            <w:rStyle w:val="Hyperlink"/>
          </w:rPr>
          <w:t>213.420</w:t>
        </w:r>
        <w:r>
          <w:rPr>
            <w:rFonts w:asciiTheme="minorHAnsi" w:eastAsiaTheme="minorEastAsia" w:hAnsiTheme="minorHAnsi" w:cstheme="minorBidi"/>
            <w:kern w:val="2"/>
            <w:sz w:val="24"/>
            <w:szCs w:val="24"/>
            <w14:ligatures w14:val="standardContextual"/>
          </w:rPr>
          <w:tab/>
        </w:r>
        <w:r w:rsidRPr="00741BDD">
          <w:rPr>
            <w:rStyle w:val="Hyperlink"/>
          </w:rPr>
          <w:t>Diagnostic Laboratory and Radiology/Other Services Referral Requirements</w:t>
        </w:r>
      </w:hyperlink>
    </w:p>
    <w:p w14:paraId="1DE4AC00"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4" w:history="1">
        <w:r w:rsidRPr="00741BDD">
          <w:rPr>
            <w:rStyle w:val="Hyperlink"/>
          </w:rPr>
          <w:t>213.500</w:t>
        </w:r>
        <w:r>
          <w:rPr>
            <w:rFonts w:asciiTheme="minorHAnsi" w:eastAsiaTheme="minorEastAsia" w:hAnsiTheme="minorHAnsi" w:cstheme="minorBidi"/>
            <w:kern w:val="2"/>
            <w:sz w:val="24"/>
            <w:szCs w:val="24"/>
            <w14:ligatures w14:val="standardContextual"/>
          </w:rPr>
          <w:tab/>
        </w:r>
        <w:r w:rsidRPr="00741BDD">
          <w:rPr>
            <w:rStyle w:val="Hyperlink"/>
          </w:rPr>
          <w:t>Outpatient Hospital Certified Nurse-Midwife Services</w:t>
        </w:r>
      </w:hyperlink>
    </w:p>
    <w:p w14:paraId="68A7377E"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5" w:history="1">
        <w:r w:rsidRPr="00741BDD">
          <w:rPr>
            <w:rStyle w:val="Hyperlink"/>
          </w:rPr>
          <w:t>213.510</w:t>
        </w:r>
        <w:r>
          <w:rPr>
            <w:rFonts w:asciiTheme="minorHAnsi" w:eastAsiaTheme="minorEastAsia" w:hAnsiTheme="minorHAnsi" w:cstheme="minorBidi"/>
            <w:kern w:val="2"/>
            <w:sz w:val="24"/>
            <w:szCs w:val="24"/>
            <w14:ligatures w14:val="standardContextual"/>
          </w:rPr>
          <w:tab/>
        </w:r>
        <w:r w:rsidRPr="00741BDD">
          <w:rPr>
            <w:rStyle w:val="Hyperlink"/>
          </w:rPr>
          <w:t>Outpatient Hospital Benefit Limit</w:t>
        </w:r>
      </w:hyperlink>
    </w:p>
    <w:p w14:paraId="7208BF2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6" w:history="1">
        <w:r w:rsidRPr="00741BDD">
          <w:rPr>
            <w:rStyle w:val="Hyperlink"/>
          </w:rPr>
          <w:t>213.600</w:t>
        </w:r>
        <w:r>
          <w:rPr>
            <w:rFonts w:asciiTheme="minorHAnsi" w:eastAsiaTheme="minorEastAsia" w:hAnsiTheme="minorHAnsi" w:cstheme="minorBidi"/>
            <w:kern w:val="2"/>
            <w:sz w:val="24"/>
            <w:szCs w:val="24"/>
            <w14:ligatures w14:val="standardContextual"/>
          </w:rPr>
          <w:tab/>
        </w:r>
        <w:r w:rsidRPr="00741BDD">
          <w:rPr>
            <w:rStyle w:val="Hyperlink"/>
          </w:rPr>
          <w:t>Certified Nurse-Midwife Services Benefit Limit</w:t>
        </w:r>
      </w:hyperlink>
    </w:p>
    <w:p w14:paraId="549A27F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7" w:history="1">
        <w:r w:rsidRPr="00741BDD">
          <w:rPr>
            <w:rStyle w:val="Hyperlink"/>
          </w:rPr>
          <w:t>213.700</w:t>
        </w:r>
        <w:r>
          <w:rPr>
            <w:rFonts w:asciiTheme="minorHAnsi" w:eastAsiaTheme="minorEastAsia" w:hAnsiTheme="minorHAnsi" w:cstheme="minorBidi"/>
            <w:kern w:val="2"/>
            <w:sz w:val="24"/>
            <w:szCs w:val="24"/>
            <w14:ligatures w14:val="standardContextual"/>
          </w:rPr>
          <w:tab/>
        </w:r>
        <w:r w:rsidRPr="00741BDD">
          <w:rPr>
            <w:rStyle w:val="Hyperlink"/>
          </w:rPr>
          <w:t>Fetal Monitoring</w:t>
        </w:r>
      </w:hyperlink>
    </w:p>
    <w:p w14:paraId="38FBFEAE"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8" w:history="1">
        <w:r w:rsidRPr="00741BDD">
          <w:rPr>
            <w:rStyle w:val="Hyperlink"/>
          </w:rPr>
          <w:t>213.710</w:t>
        </w:r>
        <w:r>
          <w:rPr>
            <w:rFonts w:asciiTheme="minorHAnsi" w:eastAsiaTheme="minorEastAsia" w:hAnsiTheme="minorHAnsi" w:cstheme="minorBidi"/>
            <w:kern w:val="2"/>
            <w:sz w:val="24"/>
            <w:szCs w:val="24"/>
            <w14:ligatures w14:val="standardContextual"/>
          </w:rPr>
          <w:tab/>
        </w:r>
        <w:r w:rsidRPr="00741BDD">
          <w:rPr>
            <w:rStyle w:val="Hyperlink"/>
          </w:rPr>
          <w:t>Fetal Non-Stress Test</w:t>
        </w:r>
      </w:hyperlink>
    </w:p>
    <w:p w14:paraId="36662BC8"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39" w:history="1">
        <w:r w:rsidRPr="00741BDD">
          <w:rPr>
            <w:rStyle w:val="Hyperlink"/>
          </w:rPr>
          <w:t>213.720</w:t>
        </w:r>
        <w:r>
          <w:rPr>
            <w:rFonts w:asciiTheme="minorHAnsi" w:eastAsiaTheme="minorEastAsia" w:hAnsiTheme="minorHAnsi" w:cstheme="minorBidi"/>
            <w:kern w:val="2"/>
            <w:sz w:val="24"/>
            <w:szCs w:val="24"/>
            <w14:ligatures w14:val="standardContextual"/>
          </w:rPr>
          <w:tab/>
        </w:r>
        <w:r w:rsidRPr="00741BDD">
          <w:rPr>
            <w:rStyle w:val="Hyperlink"/>
          </w:rPr>
          <w:t>External Fetal Monitor</w:t>
        </w:r>
      </w:hyperlink>
    </w:p>
    <w:p w14:paraId="08AA77F1"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0" w:history="1">
        <w:r w:rsidRPr="00741BDD">
          <w:rPr>
            <w:rStyle w:val="Hyperlink"/>
          </w:rPr>
          <w:t>213.730</w:t>
        </w:r>
        <w:r>
          <w:rPr>
            <w:rFonts w:asciiTheme="minorHAnsi" w:eastAsiaTheme="minorEastAsia" w:hAnsiTheme="minorHAnsi" w:cstheme="minorBidi"/>
            <w:kern w:val="2"/>
            <w:sz w:val="24"/>
            <w:szCs w:val="24"/>
            <w14:ligatures w14:val="standardContextual"/>
          </w:rPr>
          <w:tab/>
        </w:r>
        <w:r w:rsidRPr="00741BDD">
          <w:rPr>
            <w:rStyle w:val="Hyperlink"/>
          </w:rPr>
          <w:t>Fetal Echography (Ultrasound)</w:t>
        </w:r>
      </w:hyperlink>
    </w:p>
    <w:p w14:paraId="0EC81BB1"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1" w:history="1">
        <w:r w:rsidRPr="00741BDD">
          <w:rPr>
            <w:rStyle w:val="Hyperlink"/>
          </w:rPr>
          <w:t>214.000</w:t>
        </w:r>
        <w:r>
          <w:rPr>
            <w:rFonts w:asciiTheme="minorHAnsi" w:eastAsiaTheme="minorEastAsia" w:hAnsiTheme="minorHAnsi" w:cstheme="minorBidi"/>
            <w:kern w:val="2"/>
            <w:sz w:val="24"/>
            <w:szCs w:val="24"/>
            <w14:ligatures w14:val="standardContextual"/>
          </w:rPr>
          <w:tab/>
        </w:r>
        <w:r w:rsidRPr="00741BDD">
          <w:rPr>
            <w:rStyle w:val="Hyperlink"/>
          </w:rPr>
          <w:t>Procedures for Obtaining Extension of Benefits for Certified Nurse-Midwife Services</w:t>
        </w:r>
      </w:hyperlink>
    </w:p>
    <w:p w14:paraId="2DDAFF30"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2" w:history="1">
        <w:r w:rsidRPr="00741BDD">
          <w:rPr>
            <w:rStyle w:val="Hyperlink"/>
          </w:rPr>
          <w:t>214.100</w:t>
        </w:r>
        <w:r>
          <w:rPr>
            <w:rFonts w:asciiTheme="minorHAnsi" w:eastAsiaTheme="minorEastAsia" w:hAnsiTheme="minorHAnsi" w:cstheme="minorBidi"/>
            <w:kern w:val="2"/>
            <w:sz w:val="24"/>
            <w:szCs w:val="24"/>
            <w14:ligatures w14:val="standardContextual"/>
          </w:rPr>
          <w:tab/>
        </w:r>
        <w:r w:rsidRPr="00741BDD">
          <w:rPr>
            <w:rStyle w:val="Hyperlink"/>
          </w:rPr>
          <w:t>Extension of Benefits for Clinical, Outpatient, Diagnostic Laboratory, and Radiology/Other Services</w:t>
        </w:r>
      </w:hyperlink>
    </w:p>
    <w:p w14:paraId="457C9C8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3" w:history="1">
        <w:r w:rsidRPr="00741BDD">
          <w:rPr>
            <w:rStyle w:val="Hyperlink"/>
          </w:rPr>
          <w:t>214.110</w:t>
        </w:r>
        <w:r>
          <w:rPr>
            <w:rFonts w:asciiTheme="minorHAnsi" w:eastAsiaTheme="minorEastAsia" w:hAnsiTheme="minorHAnsi" w:cstheme="minorBidi"/>
            <w:kern w:val="2"/>
            <w:sz w:val="24"/>
            <w:szCs w:val="24"/>
            <w14:ligatures w14:val="standardContextual"/>
          </w:rPr>
          <w:tab/>
        </w:r>
        <w:r w:rsidRPr="00741BDD">
          <w:rPr>
            <w:rStyle w:val="Hyperlink"/>
          </w:rPr>
          <w:t>Completion of Form DMS-671, “Request For Extension of Benefits for Clinical, Outpatient, Diagnostic Laboratory, and Radiology/Other Services”</w:t>
        </w:r>
      </w:hyperlink>
    </w:p>
    <w:p w14:paraId="588D6A1D"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4" w:history="1">
        <w:r w:rsidRPr="00741BDD">
          <w:rPr>
            <w:rStyle w:val="Hyperlink"/>
          </w:rPr>
          <w:t>214.120</w:t>
        </w:r>
        <w:r>
          <w:rPr>
            <w:rFonts w:asciiTheme="minorHAnsi" w:eastAsiaTheme="minorEastAsia" w:hAnsiTheme="minorHAnsi" w:cstheme="minorBidi"/>
            <w:kern w:val="2"/>
            <w:sz w:val="24"/>
            <w:szCs w:val="24"/>
            <w14:ligatures w14:val="standardContextual"/>
          </w:rPr>
          <w:tab/>
        </w:r>
        <w:r w:rsidRPr="00741BDD">
          <w:rPr>
            <w:rStyle w:val="Hyperlink"/>
          </w:rPr>
          <w:t>Documentation Requirements</w:t>
        </w:r>
      </w:hyperlink>
    </w:p>
    <w:p w14:paraId="442CC588"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5" w:history="1">
        <w:r w:rsidRPr="00741BDD">
          <w:rPr>
            <w:rStyle w:val="Hyperlink"/>
          </w:rPr>
          <w:t>214.130</w:t>
        </w:r>
        <w:r>
          <w:rPr>
            <w:rFonts w:asciiTheme="minorHAnsi" w:eastAsiaTheme="minorEastAsia" w:hAnsiTheme="minorHAnsi" w:cstheme="minorBidi"/>
            <w:kern w:val="2"/>
            <w:sz w:val="24"/>
            <w:szCs w:val="24"/>
            <w14:ligatures w14:val="standardContextual"/>
          </w:rPr>
          <w:tab/>
        </w:r>
        <w:r w:rsidRPr="00741BDD">
          <w:rPr>
            <w:rStyle w:val="Hyperlink"/>
          </w:rPr>
          <w:t>Administrative Reconsideration and Appeals</w:t>
        </w:r>
      </w:hyperlink>
    </w:p>
    <w:p w14:paraId="04A2DAEF"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6" w:history="1">
        <w:r w:rsidRPr="00741BDD">
          <w:rPr>
            <w:rStyle w:val="Hyperlink"/>
          </w:rPr>
          <w:t>214.140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76B5C53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7" w:history="1">
        <w:r w:rsidRPr="00741BDD">
          <w:rPr>
            <w:rStyle w:val="Hyperlink"/>
          </w:rPr>
          <w:t>215.000</w:t>
        </w:r>
        <w:r>
          <w:rPr>
            <w:rFonts w:asciiTheme="minorHAnsi" w:eastAsiaTheme="minorEastAsia" w:hAnsiTheme="minorHAnsi" w:cstheme="minorBidi"/>
            <w:kern w:val="2"/>
            <w:sz w:val="24"/>
            <w:szCs w:val="24"/>
            <w14:ligatures w14:val="standardContextual"/>
          </w:rPr>
          <w:tab/>
        </w:r>
        <w:r w:rsidRPr="00741BDD">
          <w:rPr>
            <w:rStyle w:val="Hyperlink"/>
          </w:rPr>
          <w:t>Coverage Limitations</w:t>
        </w:r>
      </w:hyperlink>
    </w:p>
    <w:p w14:paraId="365B7FE9"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8" w:history="1">
        <w:r w:rsidRPr="00741BDD">
          <w:rPr>
            <w:rStyle w:val="Hyperlink"/>
          </w:rPr>
          <w:t>215.100</w:t>
        </w:r>
        <w:r>
          <w:rPr>
            <w:rFonts w:asciiTheme="minorHAnsi" w:eastAsiaTheme="minorEastAsia" w:hAnsiTheme="minorHAnsi" w:cstheme="minorBidi"/>
            <w:kern w:val="2"/>
            <w:sz w:val="24"/>
            <w:szCs w:val="24"/>
            <w14:ligatures w14:val="standardContextual"/>
          </w:rPr>
          <w:tab/>
        </w:r>
        <w:r w:rsidRPr="00741BDD">
          <w:rPr>
            <w:rStyle w:val="Hyperlink"/>
          </w:rPr>
          <w:t>New Patient Visit</w:t>
        </w:r>
      </w:hyperlink>
    </w:p>
    <w:p w14:paraId="6F46D8A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49" w:history="1">
        <w:r w:rsidRPr="00741BDD">
          <w:rPr>
            <w:rStyle w:val="Hyperlink"/>
          </w:rPr>
          <w:t>215.200</w:t>
        </w:r>
        <w:r>
          <w:rPr>
            <w:rFonts w:asciiTheme="minorHAnsi" w:eastAsiaTheme="minorEastAsia" w:hAnsiTheme="minorHAnsi" w:cstheme="minorBidi"/>
            <w:kern w:val="2"/>
            <w:sz w:val="24"/>
            <w:szCs w:val="24"/>
            <w14:ligatures w14:val="standardContextual"/>
          </w:rPr>
          <w:tab/>
        </w:r>
        <w:r w:rsidRPr="00741BDD">
          <w:rPr>
            <w:rStyle w:val="Hyperlink"/>
          </w:rPr>
          <w:t>Family Planning Coverage Information</w:t>
        </w:r>
      </w:hyperlink>
    </w:p>
    <w:p w14:paraId="0BF22B5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0" w:history="1">
        <w:r w:rsidRPr="00741BDD">
          <w:rPr>
            <w:rStyle w:val="Hyperlink"/>
          </w:rPr>
          <w:t>215.210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6474F2E1"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1" w:history="1">
        <w:r w:rsidRPr="00741BDD">
          <w:rPr>
            <w:rStyle w:val="Hyperlink"/>
          </w:rPr>
          <w:t>215.220</w:t>
        </w:r>
        <w:r>
          <w:rPr>
            <w:rFonts w:asciiTheme="minorHAnsi" w:eastAsiaTheme="minorEastAsia" w:hAnsiTheme="minorHAnsi" w:cstheme="minorBidi"/>
            <w:kern w:val="2"/>
            <w:sz w:val="24"/>
            <w:szCs w:val="24"/>
            <w14:ligatures w14:val="standardContextual"/>
          </w:rPr>
          <w:tab/>
        </w:r>
        <w:r w:rsidRPr="00741BDD">
          <w:rPr>
            <w:rStyle w:val="Hyperlink"/>
          </w:rPr>
          <w:t>Family Planning Services for Women in Aid Category 61, PW-PL</w:t>
        </w:r>
      </w:hyperlink>
    </w:p>
    <w:p w14:paraId="759698DF"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2" w:history="1">
        <w:r w:rsidRPr="00741BDD">
          <w:rPr>
            <w:rStyle w:val="Hyperlink"/>
          </w:rPr>
          <w:t>215.230</w:t>
        </w:r>
        <w:r>
          <w:rPr>
            <w:rFonts w:asciiTheme="minorHAnsi" w:eastAsiaTheme="minorEastAsia" w:hAnsiTheme="minorHAnsi" w:cstheme="minorBidi"/>
            <w:kern w:val="2"/>
            <w:sz w:val="24"/>
            <w:szCs w:val="24"/>
            <w14:ligatures w14:val="standardContextual"/>
          </w:rPr>
          <w:tab/>
        </w:r>
        <w:r w:rsidRPr="00741BDD">
          <w:rPr>
            <w:rStyle w:val="Hyperlink"/>
          </w:rPr>
          <w:t>Basic Family Planning Visit</w:t>
        </w:r>
      </w:hyperlink>
    </w:p>
    <w:p w14:paraId="2D739BDF"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3" w:history="1">
        <w:r w:rsidRPr="00741BDD">
          <w:rPr>
            <w:rStyle w:val="Hyperlink"/>
          </w:rPr>
          <w:t>215.240</w:t>
        </w:r>
        <w:r>
          <w:rPr>
            <w:rFonts w:asciiTheme="minorHAnsi" w:eastAsiaTheme="minorEastAsia" w:hAnsiTheme="minorHAnsi" w:cstheme="minorBidi"/>
            <w:kern w:val="2"/>
            <w:sz w:val="24"/>
            <w:szCs w:val="24"/>
            <w14:ligatures w14:val="standardContextual"/>
          </w:rPr>
          <w:tab/>
        </w:r>
        <w:r w:rsidRPr="00741BDD">
          <w:rPr>
            <w:rStyle w:val="Hyperlink"/>
          </w:rPr>
          <w:t>Periodic Family Planning Visit</w:t>
        </w:r>
      </w:hyperlink>
    </w:p>
    <w:p w14:paraId="472F936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4" w:history="1">
        <w:r w:rsidRPr="00741BDD">
          <w:rPr>
            <w:rStyle w:val="Hyperlink"/>
          </w:rPr>
          <w:t>215.250</w:t>
        </w:r>
        <w:r>
          <w:rPr>
            <w:rFonts w:asciiTheme="minorHAnsi" w:eastAsiaTheme="minorEastAsia" w:hAnsiTheme="minorHAnsi" w:cstheme="minorBidi"/>
            <w:kern w:val="2"/>
            <w:sz w:val="24"/>
            <w:szCs w:val="24"/>
            <w14:ligatures w14:val="standardContextual"/>
          </w:rPr>
          <w:tab/>
        </w:r>
        <w:r w:rsidRPr="00741BDD">
          <w:rPr>
            <w:rStyle w:val="Hyperlink"/>
          </w:rPr>
          <w:t>Contraception</w:t>
        </w:r>
      </w:hyperlink>
    </w:p>
    <w:p w14:paraId="0736A4A6"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5" w:history="1">
        <w:r w:rsidRPr="00741BDD">
          <w:rPr>
            <w:rStyle w:val="Hyperlink"/>
          </w:rPr>
          <w:t>215.260</w:t>
        </w:r>
        <w:r>
          <w:rPr>
            <w:rFonts w:asciiTheme="minorHAnsi" w:eastAsiaTheme="minorEastAsia" w:hAnsiTheme="minorHAnsi" w:cstheme="minorBidi"/>
            <w:kern w:val="2"/>
            <w:sz w:val="24"/>
            <w:szCs w:val="24"/>
            <w14:ligatures w14:val="standardContextual"/>
          </w:rPr>
          <w:tab/>
        </w:r>
        <w:r w:rsidRPr="00741BDD">
          <w:rPr>
            <w:rStyle w:val="Hyperlink"/>
          </w:rPr>
          <w:t>Expansion of Medicaid Eligibility for Pregnant Women</w:t>
        </w:r>
      </w:hyperlink>
    </w:p>
    <w:p w14:paraId="565719B1"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6" w:history="1">
        <w:r w:rsidRPr="00741BDD">
          <w:rPr>
            <w:rStyle w:val="Hyperlink"/>
          </w:rPr>
          <w:t>215.310</w:t>
        </w:r>
        <w:r>
          <w:rPr>
            <w:rFonts w:asciiTheme="minorHAnsi" w:eastAsiaTheme="minorEastAsia" w:hAnsiTheme="minorHAnsi" w:cstheme="minorBidi"/>
            <w:kern w:val="2"/>
            <w:sz w:val="24"/>
            <w:szCs w:val="24"/>
            <w14:ligatures w14:val="standardContextual"/>
          </w:rPr>
          <w:tab/>
        </w:r>
        <w:r w:rsidRPr="00741BDD">
          <w:rPr>
            <w:rStyle w:val="Hyperlink"/>
          </w:rPr>
          <w:t>Medicare/Medicaid Coverage</w:t>
        </w:r>
      </w:hyperlink>
    </w:p>
    <w:p w14:paraId="66818DA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7" w:history="1">
        <w:r w:rsidRPr="00741BDD">
          <w:rPr>
            <w:rStyle w:val="Hyperlink"/>
          </w:rPr>
          <w:t>215.320</w:t>
        </w:r>
        <w:r>
          <w:rPr>
            <w:rFonts w:asciiTheme="minorHAnsi" w:eastAsiaTheme="minorEastAsia" w:hAnsiTheme="minorHAnsi" w:cstheme="minorBidi"/>
            <w:kern w:val="2"/>
            <w:sz w:val="24"/>
            <w:szCs w:val="24"/>
            <w14:ligatures w14:val="standardContextual"/>
          </w:rPr>
          <w:tab/>
        </w:r>
        <w:r w:rsidRPr="00741BDD">
          <w:rPr>
            <w:rStyle w:val="Hyperlink"/>
          </w:rPr>
          <w:t>Observation Status</w:t>
        </w:r>
      </w:hyperlink>
    </w:p>
    <w:p w14:paraId="1323AD7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8" w:history="1">
        <w:r w:rsidRPr="00741BDD">
          <w:rPr>
            <w:rStyle w:val="Hyperlink"/>
          </w:rPr>
          <w:t>215.321</w:t>
        </w:r>
        <w:r>
          <w:rPr>
            <w:rFonts w:asciiTheme="minorHAnsi" w:eastAsiaTheme="minorEastAsia" w:hAnsiTheme="minorHAnsi" w:cstheme="minorBidi"/>
            <w:kern w:val="2"/>
            <w:sz w:val="24"/>
            <w:szCs w:val="24"/>
            <w14:ligatures w14:val="standardContextual"/>
          </w:rPr>
          <w:tab/>
        </w:r>
        <w:r w:rsidRPr="00741BDD">
          <w:rPr>
            <w:rStyle w:val="Hyperlink"/>
          </w:rPr>
          <w:t>Medical Necessity Requirements</w:t>
        </w:r>
      </w:hyperlink>
    </w:p>
    <w:p w14:paraId="5AC25C63"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59" w:history="1">
        <w:r w:rsidRPr="00741BDD">
          <w:rPr>
            <w:rStyle w:val="Hyperlink"/>
          </w:rPr>
          <w:t>215.322</w:t>
        </w:r>
        <w:r>
          <w:rPr>
            <w:rFonts w:asciiTheme="minorHAnsi" w:eastAsiaTheme="minorEastAsia" w:hAnsiTheme="minorHAnsi" w:cstheme="minorBidi"/>
            <w:kern w:val="2"/>
            <w:sz w:val="24"/>
            <w:szCs w:val="24"/>
            <w14:ligatures w14:val="standardContextual"/>
          </w:rPr>
          <w:tab/>
        </w:r>
        <w:r w:rsidRPr="00741BDD">
          <w:rPr>
            <w:rStyle w:val="Hyperlink"/>
          </w:rPr>
          <w:t>Coverage Limitations</w:t>
        </w:r>
      </w:hyperlink>
    </w:p>
    <w:p w14:paraId="6D5F179B"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60" w:history="1">
        <w:r w:rsidRPr="00741BDD">
          <w:rPr>
            <w:rStyle w:val="Hyperlink"/>
          </w:rPr>
          <w:t>215.323</w:t>
        </w:r>
        <w:r>
          <w:rPr>
            <w:rFonts w:asciiTheme="minorHAnsi" w:eastAsiaTheme="minorEastAsia" w:hAnsiTheme="minorHAnsi" w:cstheme="minorBidi"/>
            <w:kern w:val="2"/>
            <w:sz w:val="24"/>
            <w:szCs w:val="24"/>
            <w14:ligatures w14:val="standardContextual"/>
          </w:rPr>
          <w:tab/>
        </w:r>
        <w:r w:rsidRPr="00741BDD">
          <w:rPr>
            <w:rStyle w:val="Hyperlink"/>
          </w:rPr>
          <w:t>Billing Examples</w:t>
        </w:r>
      </w:hyperlink>
    </w:p>
    <w:p w14:paraId="741986BF" w14:textId="77777777" w:rsidR="005D59A2" w:rsidRDefault="005D59A2" w:rsidP="005D59A2">
      <w:pPr>
        <w:pStyle w:val="TOC1"/>
        <w:rPr>
          <w:rFonts w:asciiTheme="minorHAnsi" w:eastAsiaTheme="minorEastAsia" w:hAnsiTheme="minorHAnsi" w:cstheme="minorBidi"/>
          <w:b w:val="0"/>
          <w:caps w:val="0"/>
          <w:color w:val="auto"/>
          <w:kern w:val="2"/>
          <w:sz w:val="24"/>
          <w:szCs w:val="24"/>
          <w14:ligatures w14:val="standardContextual"/>
        </w:rPr>
      </w:pPr>
      <w:hyperlink w:anchor="_Toc201999161" w:history="1">
        <w:r w:rsidRPr="00741BDD">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PRIOR AUTHORIZATION</w:t>
        </w:r>
      </w:hyperlink>
    </w:p>
    <w:p w14:paraId="12534DE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62" w:history="1">
        <w:r w:rsidRPr="00741BDD">
          <w:rPr>
            <w:rStyle w:val="Hyperlink"/>
          </w:rPr>
          <w:t>240.100</w:t>
        </w:r>
        <w:r>
          <w:rPr>
            <w:rFonts w:asciiTheme="minorHAnsi" w:eastAsiaTheme="minorEastAsia" w:hAnsiTheme="minorHAnsi" w:cstheme="minorBidi"/>
            <w:kern w:val="2"/>
            <w:sz w:val="24"/>
            <w:szCs w:val="24"/>
            <w14:ligatures w14:val="standardContextual"/>
          </w:rPr>
          <w:tab/>
        </w:r>
        <w:r w:rsidRPr="00741BDD">
          <w:rPr>
            <w:rStyle w:val="Hyperlink"/>
          </w:rPr>
          <w:t>Procedure for Obtaining Prior Authorization</w:t>
        </w:r>
      </w:hyperlink>
    </w:p>
    <w:p w14:paraId="20DFEB16"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63" w:history="1">
        <w:r w:rsidRPr="00741BDD">
          <w:rPr>
            <w:rStyle w:val="Hyperlink"/>
          </w:rPr>
          <w:t>240.110</w:t>
        </w:r>
        <w:r>
          <w:rPr>
            <w:rFonts w:asciiTheme="minorHAnsi" w:eastAsiaTheme="minorEastAsia" w:hAnsiTheme="minorHAnsi" w:cstheme="minorBidi"/>
            <w:kern w:val="2"/>
            <w:sz w:val="24"/>
            <w:szCs w:val="24"/>
            <w14:ligatures w14:val="standardContextual"/>
          </w:rPr>
          <w:tab/>
        </w:r>
        <w:r w:rsidRPr="00741BDD">
          <w:rPr>
            <w:rStyle w:val="Hyperlink"/>
          </w:rPr>
          <w:t>Post-Procedural Authorization Process</w:t>
        </w:r>
      </w:hyperlink>
    </w:p>
    <w:p w14:paraId="494A7ADE"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64" w:history="1">
        <w:r w:rsidRPr="00741BDD">
          <w:rPr>
            <w:rStyle w:val="Hyperlink"/>
            <w:highlight w:val="yellow"/>
          </w:rPr>
          <w:t>240.120</w:t>
        </w:r>
        <w:r>
          <w:rPr>
            <w:rFonts w:asciiTheme="minorHAnsi" w:eastAsiaTheme="minorEastAsia" w:hAnsiTheme="minorHAnsi" w:cstheme="minorBidi"/>
            <w:kern w:val="2"/>
            <w:sz w:val="24"/>
            <w:szCs w:val="24"/>
            <w14:ligatures w14:val="standardContextual"/>
          </w:rPr>
          <w:tab/>
        </w:r>
        <w:r w:rsidRPr="00741BDD">
          <w:rPr>
            <w:rStyle w:val="Hyperlink"/>
            <w:highlight w:val="yellow"/>
          </w:rPr>
          <w:t>Post-Procedural Authorization Process for Beneficiaries who are Under Age 21</w:t>
        </w:r>
      </w:hyperlink>
    </w:p>
    <w:p w14:paraId="49586240"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65" w:history="1">
        <w:r w:rsidRPr="00741BDD">
          <w:rPr>
            <w:rStyle w:val="Hyperlink"/>
            <w:highlight w:val="yellow"/>
          </w:rPr>
          <w:t>240.130</w:t>
        </w:r>
        <w:r>
          <w:rPr>
            <w:rFonts w:asciiTheme="minorHAnsi" w:eastAsiaTheme="minorEastAsia" w:hAnsiTheme="minorHAnsi" w:cstheme="minorBidi"/>
            <w:kern w:val="2"/>
            <w:sz w:val="24"/>
            <w:szCs w:val="24"/>
            <w14:ligatures w14:val="standardContextual"/>
          </w:rPr>
          <w:tab/>
        </w:r>
        <w:r w:rsidRPr="00741BDD">
          <w:rPr>
            <w:rStyle w:val="Hyperlink"/>
            <w:highlight w:val="yellow"/>
          </w:rPr>
          <w:t>Post-Procedural Authorization for Beneficiaries Aged 21 and Older</w:t>
        </w:r>
      </w:hyperlink>
    </w:p>
    <w:p w14:paraId="5EBE15A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66" w:history="1">
        <w:r w:rsidRPr="00741BDD">
          <w:rPr>
            <w:rStyle w:val="Hyperlink"/>
          </w:rPr>
          <w:t>240.200</w:t>
        </w:r>
        <w:r>
          <w:rPr>
            <w:rFonts w:asciiTheme="minorHAnsi" w:eastAsiaTheme="minorEastAsia" w:hAnsiTheme="minorHAnsi" w:cstheme="minorBidi"/>
            <w:kern w:val="2"/>
            <w:sz w:val="24"/>
            <w:szCs w:val="24"/>
            <w14:ligatures w14:val="standardContextual"/>
          </w:rPr>
          <w:tab/>
        </w:r>
        <w:r w:rsidRPr="00741BDD">
          <w:rPr>
            <w:rStyle w:val="Hyperlink"/>
          </w:rPr>
          <w:t>Prescription Drug Prior Authorization</w:t>
        </w:r>
      </w:hyperlink>
    </w:p>
    <w:p w14:paraId="3D5190CB" w14:textId="77777777" w:rsidR="005D59A2" w:rsidRDefault="005D59A2" w:rsidP="005D59A2">
      <w:pPr>
        <w:pStyle w:val="TOC1"/>
        <w:rPr>
          <w:rFonts w:asciiTheme="minorHAnsi" w:eastAsiaTheme="minorEastAsia" w:hAnsiTheme="minorHAnsi" w:cstheme="minorBidi"/>
          <w:b w:val="0"/>
          <w:caps w:val="0"/>
          <w:color w:val="auto"/>
          <w:kern w:val="2"/>
          <w:sz w:val="24"/>
          <w:szCs w:val="24"/>
          <w14:ligatures w14:val="standardContextual"/>
        </w:rPr>
      </w:pPr>
      <w:hyperlink w:anchor="_Toc201999167" w:history="1">
        <w:r w:rsidRPr="00741BDD">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REIMBURSEMENT</w:t>
        </w:r>
      </w:hyperlink>
    </w:p>
    <w:p w14:paraId="7D2C8F83"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68" w:history="1">
        <w:r w:rsidRPr="00741BDD">
          <w:rPr>
            <w:rStyle w:val="Hyperlink"/>
          </w:rPr>
          <w:t>251.000</w:t>
        </w:r>
        <w:r>
          <w:rPr>
            <w:rFonts w:asciiTheme="minorHAnsi" w:eastAsiaTheme="minorEastAsia" w:hAnsiTheme="minorHAnsi" w:cstheme="minorBidi"/>
            <w:kern w:val="2"/>
            <w:sz w:val="24"/>
            <w:szCs w:val="24"/>
            <w14:ligatures w14:val="standardContextual"/>
          </w:rPr>
          <w:tab/>
        </w:r>
        <w:r w:rsidRPr="00741BDD">
          <w:rPr>
            <w:rStyle w:val="Hyperlink"/>
          </w:rPr>
          <w:t>Method of Reimbursement</w:t>
        </w:r>
      </w:hyperlink>
    </w:p>
    <w:p w14:paraId="318A97A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69" w:history="1">
        <w:r w:rsidRPr="00741BDD">
          <w:rPr>
            <w:rStyle w:val="Hyperlink"/>
          </w:rPr>
          <w:t>251.010</w:t>
        </w:r>
        <w:r>
          <w:rPr>
            <w:rFonts w:asciiTheme="minorHAnsi" w:eastAsiaTheme="minorEastAsia" w:hAnsiTheme="minorHAnsi" w:cstheme="minorBidi"/>
            <w:kern w:val="2"/>
            <w:sz w:val="24"/>
            <w:szCs w:val="24"/>
            <w14:ligatures w14:val="standardContextual"/>
          </w:rPr>
          <w:tab/>
        </w:r>
        <w:r w:rsidRPr="00741BDD">
          <w:rPr>
            <w:rStyle w:val="Hyperlink"/>
          </w:rPr>
          <w:t>Fee Schedules</w:t>
        </w:r>
      </w:hyperlink>
    </w:p>
    <w:p w14:paraId="2CE83C9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70" w:history="1">
        <w:r w:rsidRPr="00741BDD">
          <w:rPr>
            <w:rStyle w:val="Hyperlink"/>
          </w:rPr>
          <w:t>252.000</w:t>
        </w:r>
        <w:r>
          <w:rPr>
            <w:rFonts w:asciiTheme="minorHAnsi" w:eastAsiaTheme="minorEastAsia" w:hAnsiTheme="minorHAnsi" w:cstheme="minorBidi"/>
            <w:kern w:val="2"/>
            <w:sz w:val="24"/>
            <w:szCs w:val="24"/>
            <w14:ligatures w14:val="standardContextual"/>
          </w:rPr>
          <w:tab/>
        </w:r>
        <w:r w:rsidRPr="00741BDD">
          <w:rPr>
            <w:rStyle w:val="Hyperlink"/>
          </w:rPr>
          <w:t>Rate Appeal Process</w:t>
        </w:r>
      </w:hyperlink>
    </w:p>
    <w:p w14:paraId="6468D6F9" w14:textId="77777777" w:rsidR="005D59A2" w:rsidRDefault="005D59A2" w:rsidP="005D59A2">
      <w:pPr>
        <w:pStyle w:val="TOC1"/>
        <w:rPr>
          <w:rFonts w:asciiTheme="minorHAnsi" w:eastAsiaTheme="minorEastAsia" w:hAnsiTheme="minorHAnsi" w:cstheme="minorBidi"/>
          <w:b w:val="0"/>
          <w:caps w:val="0"/>
          <w:color w:val="auto"/>
          <w:kern w:val="2"/>
          <w:sz w:val="24"/>
          <w:szCs w:val="24"/>
          <w14:ligatures w14:val="standardContextual"/>
        </w:rPr>
      </w:pPr>
      <w:hyperlink w:anchor="_Toc201999171" w:history="1">
        <w:r w:rsidRPr="00741BDD">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HOSPITAL/PHYSICIAN/CERTIFIED NURSE-MIDWIFE REFERRAL PROGRAM</w:t>
        </w:r>
      </w:hyperlink>
    </w:p>
    <w:p w14:paraId="250C0D2A"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72" w:history="1">
        <w:r w:rsidRPr="00741BDD">
          <w:rPr>
            <w:rStyle w:val="Hyperlink"/>
          </w:rPr>
          <w:t>260.100</w:t>
        </w:r>
        <w:r>
          <w:rPr>
            <w:rFonts w:asciiTheme="minorHAnsi" w:eastAsiaTheme="minorEastAsia" w:hAnsiTheme="minorHAnsi" w:cstheme="minorBidi"/>
            <w:kern w:val="2"/>
            <w:sz w:val="24"/>
            <w:szCs w:val="24"/>
            <w14:ligatures w14:val="standardContextual"/>
          </w:rPr>
          <w:tab/>
        </w:r>
        <w:r w:rsidRPr="00741BDD">
          <w:rPr>
            <w:rStyle w:val="Hyperlink"/>
          </w:rPr>
          <w:t>Introduction</w:t>
        </w:r>
      </w:hyperlink>
    </w:p>
    <w:p w14:paraId="5A61BDA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73" w:history="1">
        <w:r w:rsidRPr="00741BDD">
          <w:rPr>
            <w:rStyle w:val="Hyperlink"/>
          </w:rPr>
          <w:t>260.200</w:t>
        </w:r>
        <w:r>
          <w:rPr>
            <w:rFonts w:asciiTheme="minorHAnsi" w:eastAsiaTheme="minorEastAsia" w:hAnsiTheme="minorHAnsi" w:cstheme="minorBidi"/>
            <w:kern w:val="2"/>
            <w:sz w:val="24"/>
            <w:szCs w:val="24"/>
            <w14:ligatures w14:val="standardContextual"/>
          </w:rPr>
          <w:tab/>
        </w:r>
        <w:r w:rsidRPr="00741BDD">
          <w:rPr>
            <w:rStyle w:val="Hyperlink"/>
          </w:rPr>
          <w:t>Hospital/Physician/Certified Nurse-Midwife Responsibility</w:t>
        </w:r>
      </w:hyperlink>
    </w:p>
    <w:p w14:paraId="72B58EC0"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74" w:history="1">
        <w:r w:rsidRPr="00741BDD">
          <w:rPr>
            <w:rStyle w:val="Hyperlink"/>
          </w:rPr>
          <w:t>260.300</w:t>
        </w:r>
        <w:r>
          <w:rPr>
            <w:rFonts w:asciiTheme="minorHAnsi" w:eastAsiaTheme="minorEastAsia" w:hAnsiTheme="minorHAnsi" w:cstheme="minorBidi"/>
            <w:kern w:val="2"/>
            <w:sz w:val="24"/>
            <w:szCs w:val="24"/>
            <w14:ligatures w14:val="standardContextual"/>
          </w:rPr>
          <w:tab/>
        </w:r>
        <w:r w:rsidRPr="00741BDD">
          <w:rPr>
            <w:rStyle w:val="Hyperlink"/>
          </w:rPr>
          <w:t>County Human Services Office Responsibility</w:t>
        </w:r>
      </w:hyperlink>
    </w:p>
    <w:p w14:paraId="3A3248D9"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75" w:history="1">
        <w:r w:rsidRPr="00741BDD">
          <w:rPr>
            <w:rStyle w:val="Hyperlink"/>
          </w:rPr>
          <w:t>260.400</w:t>
        </w:r>
        <w:r>
          <w:rPr>
            <w:rFonts w:asciiTheme="minorHAnsi" w:eastAsiaTheme="minorEastAsia" w:hAnsiTheme="minorHAnsi" w:cstheme="minorBidi"/>
            <w:kern w:val="2"/>
            <w:sz w:val="24"/>
            <w:szCs w:val="24"/>
            <w14:ligatures w14:val="standardContextual"/>
          </w:rPr>
          <w:tab/>
        </w:r>
        <w:r w:rsidRPr="00741BDD">
          <w:rPr>
            <w:rStyle w:val="Hyperlink"/>
          </w:rPr>
          <w:t>Completion of Referral for Medical Assistance Form (DMS-630)</w:t>
        </w:r>
      </w:hyperlink>
    </w:p>
    <w:p w14:paraId="3621724B"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76" w:history="1">
        <w:r w:rsidRPr="00741BDD">
          <w:rPr>
            <w:rStyle w:val="Hyperlink"/>
          </w:rPr>
          <w:t>260.410</w:t>
        </w:r>
        <w:r>
          <w:rPr>
            <w:rFonts w:asciiTheme="minorHAnsi" w:eastAsiaTheme="minorEastAsia" w:hAnsiTheme="minorHAnsi" w:cstheme="minorBidi"/>
            <w:kern w:val="2"/>
            <w:sz w:val="24"/>
            <w:szCs w:val="24"/>
            <w14:ligatures w14:val="standardContextual"/>
          </w:rPr>
          <w:tab/>
        </w:r>
        <w:r w:rsidRPr="00741BDD">
          <w:rPr>
            <w:rStyle w:val="Hyperlink"/>
          </w:rPr>
          <w:t>Purpose of Form</w:t>
        </w:r>
      </w:hyperlink>
    </w:p>
    <w:p w14:paraId="3C2A695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77" w:history="1">
        <w:r w:rsidRPr="00741BDD">
          <w:rPr>
            <w:rStyle w:val="Hyperlink"/>
          </w:rPr>
          <w:t>260.420</w:t>
        </w:r>
        <w:r>
          <w:rPr>
            <w:rFonts w:asciiTheme="minorHAnsi" w:eastAsiaTheme="minorEastAsia" w:hAnsiTheme="minorHAnsi" w:cstheme="minorBidi"/>
            <w:kern w:val="2"/>
            <w:sz w:val="24"/>
            <w:szCs w:val="24"/>
            <w14:ligatures w14:val="standardContextual"/>
          </w:rPr>
          <w:tab/>
        </w:r>
        <w:r w:rsidRPr="00741BDD">
          <w:rPr>
            <w:rStyle w:val="Hyperlink"/>
          </w:rPr>
          <w:t>Hospital/Physician/Certified Nurse-Midwife Completion - Section 1</w:t>
        </w:r>
      </w:hyperlink>
    </w:p>
    <w:p w14:paraId="4217C3A9"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78" w:history="1">
        <w:r w:rsidRPr="00741BDD">
          <w:rPr>
            <w:rStyle w:val="Hyperlink"/>
          </w:rPr>
          <w:t>260.430</w:t>
        </w:r>
        <w:r>
          <w:rPr>
            <w:rFonts w:asciiTheme="minorHAnsi" w:eastAsiaTheme="minorEastAsia" w:hAnsiTheme="minorHAnsi" w:cstheme="minorBidi"/>
            <w:kern w:val="2"/>
            <w:sz w:val="24"/>
            <w:szCs w:val="24"/>
            <w14:ligatures w14:val="standardContextual"/>
          </w:rPr>
          <w:tab/>
        </w:r>
        <w:r w:rsidRPr="00741BDD">
          <w:rPr>
            <w:rStyle w:val="Hyperlink"/>
          </w:rPr>
          <w:t>County Department of Human Services Office Completion -  Section 2</w:t>
        </w:r>
      </w:hyperlink>
    </w:p>
    <w:p w14:paraId="24BA05CF"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79" w:history="1">
        <w:r w:rsidRPr="00741BDD">
          <w:rPr>
            <w:rStyle w:val="Hyperlink"/>
          </w:rPr>
          <w:t>260.440</w:t>
        </w:r>
        <w:r>
          <w:rPr>
            <w:rFonts w:asciiTheme="minorHAnsi" w:eastAsiaTheme="minorEastAsia" w:hAnsiTheme="minorHAnsi" w:cstheme="minorBidi"/>
            <w:kern w:val="2"/>
            <w:sz w:val="24"/>
            <w:szCs w:val="24"/>
            <w14:ligatures w14:val="standardContextual"/>
          </w:rPr>
          <w:tab/>
        </w:r>
        <w:r w:rsidRPr="00741BDD">
          <w:rPr>
            <w:rStyle w:val="Hyperlink"/>
          </w:rPr>
          <w:t>Ordering DMS-630 Forms</w:t>
        </w:r>
      </w:hyperlink>
    </w:p>
    <w:p w14:paraId="0F7DA0C2"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80" w:history="1">
        <w:r w:rsidRPr="00741BDD">
          <w:rPr>
            <w:rStyle w:val="Hyperlink"/>
          </w:rPr>
          <w:t>260.500</w:t>
        </w:r>
        <w:r>
          <w:rPr>
            <w:rFonts w:asciiTheme="minorHAnsi" w:eastAsiaTheme="minorEastAsia" w:hAnsiTheme="minorHAnsi" w:cstheme="minorBidi"/>
            <w:kern w:val="2"/>
            <w:sz w:val="24"/>
            <w:szCs w:val="24"/>
            <w14:ligatures w14:val="standardContextual"/>
          </w:rPr>
          <w:tab/>
        </w:r>
        <w:r w:rsidRPr="00741BDD">
          <w:rPr>
            <w:rStyle w:val="Hyperlink"/>
          </w:rPr>
          <w:t>Hospital/Physician/Certified Nurse-Midwife Referral for Newborns</w:t>
        </w:r>
      </w:hyperlink>
    </w:p>
    <w:p w14:paraId="618CDBAF"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81" w:history="1">
        <w:r w:rsidRPr="00741BDD">
          <w:rPr>
            <w:rStyle w:val="Hyperlink"/>
          </w:rPr>
          <w:t>260.510</w:t>
        </w:r>
        <w:r>
          <w:rPr>
            <w:rFonts w:asciiTheme="minorHAnsi" w:eastAsiaTheme="minorEastAsia" w:hAnsiTheme="minorHAnsi" w:cstheme="minorBidi"/>
            <w:kern w:val="2"/>
            <w:sz w:val="24"/>
            <w:szCs w:val="24"/>
            <w14:ligatures w14:val="standardContextual"/>
          </w:rPr>
          <w:tab/>
        </w:r>
        <w:r w:rsidRPr="00741BDD">
          <w:rPr>
            <w:rStyle w:val="Hyperlink"/>
          </w:rPr>
          <w:t>Ordering DCO-645 Forms</w:t>
        </w:r>
      </w:hyperlink>
    </w:p>
    <w:p w14:paraId="73D4C507" w14:textId="77777777" w:rsidR="005D59A2" w:rsidRDefault="005D59A2" w:rsidP="005D59A2">
      <w:pPr>
        <w:pStyle w:val="TOC1"/>
        <w:rPr>
          <w:rFonts w:asciiTheme="minorHAnsi" w:eastAsiaTheme="minorEastAsia" w:hAnsiTheme="minorHAnsi" w:cstheme="minorBidi"/>
          <w:b w:val="0"/>
          <w:caps w:val="0"/>
          <w:color w:val="auto"/>
          <w:kern w:val="2"/>
          <w:sz w:val="24"/>
          <w:szCs w:val="24"/>
          <w14:ligatures w14:val="standardContextual"/>
        </w:rPr>
      </w:pPr>
      <w:hyperlink w:anchor="_Toc201999182" w:history="1">
        <w:r w:rsidRPr="00741BDD">
          <w:rPr>
            <w:rStyle w:val="Hyperlink"/>
          </w:rPr>
          <w:t>270.000</w:t>
        </w:r>
        <w:r>
          <w:rPr>
            <w:rFonts w:asciiTheme="minorHAnsi" w:eastAsiaTheme="minorEastAsia" w:hAnsiTheme="minorHAnsi" w:cstheme="minorBidi"/>
            <w:b w:val="0"/>
            <w:caps w:val="0"/>
            <w:color w:val="auto"/>
            <w:kern w:val="2"/>
            <w:sz w:val="24"/>
            <w:szCs w:val="24"/>
            <w14:ligatures w14:val="standardContextual"/>
          </w:rPr>
          <w:tab/>
        </w:r>
        <w:r w:rsidRPr="00741BDD">
          <w:rPr>
            <w:rStyle w:val="Hyperlink"/>
          </w:rPr>
          <w:t>BILLING PROCEDURES</w:t>
        </w:r>
      </w:hyperlink>
    </w:p>
    <w:p w14:paraId="4497926E"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83" w:history="1">
        <w:r w:rsidRPr="00741BDD">
          <w:rPr>
            <w:rStyle w:val="Hyperlink"/>
          </w:rPr>
          <w:t>271.000</w:t>
        </w:r>
        <w:r>
          <w:rPr>
            <w:rFonts w:asciiTheme="minorHAnsi" w:eastAsiaTheme="minorEastAsia" w:hAnsiTheme="minorHAnsi" w:cstheme="minorBidi"/>
            <w:kern w:val="2"/>
            <w:sz w:val="24"/>
            <w:szCs w:val="24"/>
            <w14:ligatures w14:val="standardContextual"/>
          </w:rPr>
          <w:tab/>
        </w:r>
        <w:r w:rsidRPr="00741BDD">
          <w:rPr>
            <w:rStyle w:val="Hyperlink"/>
          </w:rPr>
          <w:t>Introduction to Billing</w:t>
        </w:r>
      </w:hyperlink>
    </w:p>
    <w:p w14:paraId="05D96D9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84" w:history="1">
        <w:r w:rsidRPr="00741BDD">
          <w:rPr>
            <w:rStyle w:val="Hyperlink"/>
          </w:rPr>
          <w:t>272.000</w:t>
        </w:r>
        <w:r>
          <w:rPr>
            <w:rFonts w:asciiTheme="minorHAnsi" w:eastAsiaTheme="minorEastAsia" w:hAnsiTheme="minorHAnsi" w:cstheme="minorBidi"/>
            <w:kern w:val="2"/>
            <w:sz w:val="24"/>
            <w:szCs w:val="24"/>
            <w14:ligatures w14:val="standardContextual"/>
          </w:rPr>
          <w:tab/>
        </w:r>
        <w:r w:rsidRPr="00741BDD">
          <w:rPr>
            <w:rStyle w:val="Hyperlink"/>
          </w:rPr>
          <w:t>CMS-1500 Billing Procedures</w:t>
        </w:r>
      </w:hyperlink>
    </w:p>
    <w:p w14:paraId="014DF55A"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85" w:history="1">
        <w:r w:rsidRPr="00741BDD">
          <w:rPr>
            <w:rStyle w:val="Hyperlink"/>
          </w:rPr>
          <w:t>272.100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26CA39B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86" w:history="1">
        <w:r w:rsidRPr="00741BDD">
          <w:rPr>
            <w:rStyle w:val="Hyperlink"/>
          </w:rPr>
          <w:t>272.110</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3714E7EA"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87" w:history="1">
        <w:r w:rsidRPr="00741BDD">
          <w:rPr>
            <w:rStyle w:val="Hyperlink"/>
          </w:rPr>
          <w:t>272.200</w:t>
        </w:r>
        <w:r>
          <w:rPr>
            <w:rFonts w:asciiTheme="minorHAnsi" w:eastAsiaTheme="minorEastAsia" w:hAnsiTheme="minorHAnsi" w:cstheme="minorBidi"/>
            <w:kern w:val="2"/>
            <w:sz w:val="24"/>
            <w:szCs w:val="24"/>
            <w14:ligatures w14:val="standardContextual"/>
          </w:rPr>
          <w:tab/>
        </w:r>
        <w:r w:rsidRPr="00741BDD">
          <w:rPr>
            <w:rStyle w:val="Hyperlink"/>
          </w:rPr>
          <w:t>National Place of Service (POS) Codes</w:t>
        </w:r>
      </w:hyperlink>
    </w:p>
    <w:p w14:paraId="3811D77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88" w:history="1">
        <w:r w:rsidRPr="00741BDD">
          <w:rPr>
            <w:rStyle w:val="Hyperlink"/>
          </w:rPr>
          <w:t>272.300</w:t>
        </w:r>
        <w:r>
          <w:rPr>
            <w:rFonts w:asciiTheme="minorHAnsi" w:eastAsiaTheme="minorEastAsia" w:hAnsiTheme="minorHAnsi" w:cstheme="minorBidi"/>
            <w:kern w:val="2"/>
            <w:sz w:val="24"/>
            <w:szCs w:val="24"/>
            <w14:ligatures w14:val="standardContextual"/>
          </w:rPr>
          <w:tab/>
        </w:r>
        <w:r w:rsidRPr="00741BDD">
          <w:rPr>
            <w:rStyle w:val="Hyperlink"/>
          </w:rPr>
          <w:t>Billing Instructions</w:t>
        </w:r>
      </w:hyperlink>
    </w:p>
    <w:p w14:paraId="1F8384C3"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89" w:history="1">
        <w:r w:rsidRPr="00741BDD">
          <w:rPr>
            <w:rStyle w:val="Hyperlink"/>
          </w:rPr>
          <w:t>272.310</w:t>
        </w:r>
        <w:r>
          <w:rPr>
            <w:rFonts w:asciiTheme="minorHAnsi" w:eastAsiaTheme="minorEastAsia" w:hAnsiTheme="minorHAnsi" w:cstheme="minorBidi"/>
            <w:kern w:val="2"/>
            <w:sz w:val="24"/>
            <w:szCs w:val="24"/>
            <w14:ligatures w14:val="standardContextual"/>
          </w:rPr>
          <w:tab/>
        </w:r>
        <w:r w:rsidRPr="00741BDD">
          <w:rPr>
            <w:rStyle w:val="Hyperlink"/>
          </w:rPr>
          <w:t>Completion of CMS-1500 Claim Form</w:t>
        </w:r>
      </w:hyperlink>
    </w:p>
    <w:p w14:paraId="1388FDD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0" w:history="1">
        <w:r w:rsidRPr="00741BDD">
          <w:rPr>
            <w:rStyle w:val="Hyperlink"/>
          </w:rPr>
          <w:t>272.400</w:t>
        </w:r>
        <w:r>
          <w:rPr>
            <w:rFonts w:asciiTheme="minorHAnsi" w:eastAsiaTheme="minorEastAsia" w:hAnsiTheme="minorHAnsi" w:cstheme="minorBidi"/>
            <w:kern w:val="2"/>
            <w:sz w:val="24"/>
            <w:szCs w:val="24"/>
            <w14:ligatures w14:val="standardContextual"/>
          </w:rPr>
          <w:tab/>
        </w:r>
        <w:r w:rsidRPr="00741BDD">
          <w:rPr>
            <w:rStyle w:val="Hyperlink"/>
          </w:rPr>
          <w:t>Special Billing Procedures</w:t>
        </w:r>
      </w:hyperlink>
    </w:p>
    <w:p w14:paraId="097EE226"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1" w:history="1">
        <w:r w:rsidRPr="00741BDD">
          <w:rPr>
            <w:rStyle w:val="Hyperlink"/>
          </w:rPr>
          <w:t>272.410</w:t>
        </w:r>
        <w:r>
          <w:rPr>
            <w:rFonts w:asciiTheme="minorHAnsi" w:eastAsiaTheme="minorEastAsia" w:hAnsiTheme="minorHAnsi" w:cstheme="minorBidi"/>
            <w:kern w:val="2"/>
            <w:sz w:val="24"/>
            <w:szCs w:val="24"/>
            <w14:ligatures w14:val="standardContextual"/>
          </w:rPr>
          <w:tab/>
        </w:r>
        <w:r w:rsidRPr="00741BDD">
          <w:rPr>
            <w:rStyle w:val="Hyperlink"/>
          </w:rPr>
          <w:t>Anesthesia Services</w:t>
        </w:r>
      </w:hyperlink>
    </w:p>
    <w:p w14:paraId="63B6726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2" w:history="1">
        <w:r w:rsidRPr="00741BDD">
          <w:rPr>
            <w:rStyle w:val="Hyperlink"/>
          </w:rPr>
          <w:t>272.411</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694F5512"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3" w:history="1">
        <w:r w:rsidRPr="00741BDD">
          <w:rPr>
            <w:rStyle w:val="Hyperlink"/>
          </w:rPr>
          <w:t>272.412</w:t>
        </w:r>
        <w:r>
          <w:rPr>
            <w:rFonts w:asciiTheme="minorHAnsi" w:eastAsiaTheme="minorEastAsia" w:hAnsiTheme="minorHAnsi" w:cstheme="minorBidi"/>
            <w:kern w:val="2"/>
            <w:sz w:val="24"/>
            <w:szCs w:val="24"/>
            <w14:ligatures w14:val="standardContextual"/>
          </w:rPr>
          <w:tab/>
        </w:r>
        <w:r w:rsidRPr="00741BDD">
          <w:rPr>
            <w:rStyle w:val="Hyperlink"/>
          </w:rPr>
          <w:t>Pudendal Nerve Block</w:t>
        </w:r>
      </w:hyperlink>
    </w:p>
    <w:p w14:paraId="237F7F3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4" w:history="1">
        <w:r w:rsidRPr="00741BDD">
          <w:rPr>
            <w:rStyle w:val="Hyperlink"/>
          </w:rPr>
          <w:t>272.420</w:t>
        </w:r>
        <w:r>
          <w:rPr>
            <w:rFonts w:asciiTheme="minorHAnsi" w:eastAsiaTheme="minorEastAsia" w:hAnsiTheme="minorHAnsi" w:cstheme="minorBidi"/>
            <w:kern w:val="2"/>
            <w:sz w:val="24"/>
            <w:szCs w:val="24"/>
            <w14:ligatures w14:val="standardContextual"/>
          </w:rPr>
          <w:tab/>
        </w:r>
        <w:r w:rsidRPr="00741BDD">
          <w:rPr>
            <w:rStyle w:val="Hyperlink"/>
          </w:rPr>
          <w:t>Clinic or Group Billing</w:t>
        </w:r>
      </w:hyperlink>
    </w:p>
    <w:p w14:paraId="6D401521"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5" w:history="1">
        <w:r w:rsidRPr="00741BDD">
          <w:rPr>
            <w:rStyle w:val="Hyperlink"/>
          </w:rPr>
          <w:t>272.430</w:t>
        </w:r>
        <w:r>
          <w:rPr>
            <w:rFonts w:asciiTheme="minorHAnsi" w:eastAsiaTheme="minorEastAsia" w:hAnsiTheme="minorHAnsi" w:cstheme="minorBidi"/>
            <w:kern w:val="2"/>
            <w:sz w:val="24"/>
            <w:szCs w:val="24"/>
            <w14:ligatures w14:val="standardContextual"/>
          </w:rPr>
          <w:tab/>
        </w:r>
        <w:r w:rsidRPr="00741BDD">
          <w:rPr>
            <w:rStyle w:val="Hyperlink"/>
          </w:rPr>
          <w:t>Family Planning Services for Beneficiaries</w:t>
        </w:r>
      </w:hyperlink>
    </w:p>
    <w:p w14:paraId="4E777D03"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6" w:history="1">
        <w:r w:rsidRPr="00741BDD">
          <w:rPr>
            <w:rStyle w:val="Hyperlink"/>
          </w:rPr>
          <w:t>272.431</w:t>
        </w:r>
        <w:r>
          <w:rPr>
            <w:rFonts w:asciiTheme="minorHAnsi" w:eastAsiaTheme="minorEastAsia" w:hAnsiTheme="minorHAnsi" w:cstheme="minorBidi"/>
            <w:kern w:val="2"/>
            <w:sz w:val="24"/>
            <w:szCs w:val="24"/>
            <w14:ligatures w14:val="standardContextual"/>
          </w:rPr>
          <w:tab/>
        </w:r>
        <w:r w:rsidRPr="00741BDD">
          <w:rPr>
            <w:rStyle w:val="Hyperlink"/>
          </w:rPr>
          <w:t>Family Planning Services Laboratory Procedure Codes</w:t>
        </w:r>
      </w:hyperlink>
    </w:p>
    <w:p w14:paraId="5903B6D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7" w:history="1">
        <w:r w:rsidRPr="00741BDD">
          <w:rPr>
            <w:rStyle w:val="Hyperlink"/>
          </w:rPr>
          <w:t>272.440</w:t>
        </w:r>
        <w:r>
          <w:rPr>
            <w:rFonts w:asciiTheme="minorHAnsi" w:eastAsiaTheme="minorEastAsia" w:hAnsiTheme="minorHAnsi" w:cstheme="minorBidi"/>
            <w:kern w:val="2"/>
            <w:sz w:val="24"/>
            <w:szCs w:val="24"/>
            <w14:ligatures w14:val="standardContextual"/>
          </w:rPr>
          <w:tab/>
        </w:r>
        <w:r w:rsidRPr="00741BDD">
          <w:rPr>
            <w:rStyle w:val="Hyperlink"/>
          </w:rPr>
          <w:t>Billable Family Planning Services for Beneficiaries</w:t>
        </w:r>
      </w:hyperlink>
    </w:p>
    <w:p w14:paraId="7E89BB9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8" w:history="1">
        <w:r w:rsidRPr="00741BDD">
          <w:rPr>
            <w:rStyle w:val="Hyperlink"/>
          </w:rPr>
          <w:t>272.441</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04EE116F"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199" w:history="1">
        <w:r w:rsidRPr="00741BDD">
          <w:rPr>
            <w:rStyle w:val="Hyperlink"/>
          </w:rPr>
          <w:t>272.442</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3C1F7BC2"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0" w:history="1">
        <w:r w:rsidRPr="00741BDD">
          <w:rPr>
            <w:rStyle w:val="Hyperlink"/>
          </w:rPr>
          <w:t>272.443</w:t>
        </w:r>
        <w:r>
          <w:rPr>
            <w:rFonts w:asciiTheme="minorHAnsi" w:eastAsiaTheme="minorEastAsia" w:hAnsiTheme="minorHAnsi" w:cstheme="minorBidi"/>
            <w:kern w:val="2"/>
            <w:sz w:val="24"/>
            <w:szCs w:val="24"/>
            <w14:ligatures w14:val="standardContextual"/>
          </w:rPr>
          <w:tab/>
        </w:r>
        <w:r w:rsidRPr="00741BDD">
          <w:rPr>
            <w:rStyle w:val="Hyperlink"/>
          </w:rPr>
          <w:t>Reserved</w:t>
        </w:r>
      </w:hyperlink>
    </w:p>
    <w:p w14:paraId="1EDB904E"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1" w:history="1">
        <w:r w:rsidRPr="00741BDD">
          <w:rPr>
            <w:rStyle w:val="Hyperlink"/>
          </w:rPr>
          <w:t>272.450</w:t>
        </w:r>
        <w:r>
          <w:rPr>
            <w:rFonts w:asciiTheme="minorHAnsi" w:eastAsiaTheme="minorEastAsia" w:hAnsiTheme="minorHAnsi" w:cstheme="minorBidi"/>
            <w:kern w:val="2"/>
            <w:sz w:val="24"/>
            <w:szCs w:val="24"/>
            <w14:ligatures w14:val="standardContextual"/>
          </w:rPr>
          <w:tab/>
        </w:r>
        <w:r w:rsidRPr="00741BDD">
          <w:rPr>
            <w:rStyle w:val="Hyperlink"/>
          </w:rPr>
          <w:t>Laboratory Services Procedure Codes</w:t>
        </w:r>
      </w:hyperlink>
    </w:p>
    <w:p w14:paraId="683BB71B"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2" w:history="1">
        <w:r w:rsidRPr="00741BDD">
          <w:rPr>
            <w:rStyle w:val="Hyperlink"/>
          </w:rPr>
          <w:t>272.451</w:t>
        </w:r>
        <w:r>
          <w:rPr>
            <w:rFonts w:asciiTheme="minorHAnsi" w:eastAsiaTheme="minorEastAsia" w:hAnsiTheme="minorHAnsi" w:cstheme="minorBidi"/>
            <w:kern w:val="2"/>
            <w:sz w:val="24"/>
            <w:szCs w:val="24"/>
            <w14:ligatures w14:val="standardContextual"/>
          </w:rPr>
          <w:tab/>
        </w:r>
        <w:r w:rsidRPr="00741BDD">
          <w:rPr>
            <w:rStyle w:val="Hyperlink"/>
          </w:rPr>
          <w:t>Specimen Collection</w:t>
        </w:r>
      </w:hyperlink>
    </w:p>
    <w:p w14:paraId="55EC7E8B"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3" w:history="1">
        <w:r w:rsidRPr="00741BDD">
          <w:rPr>
            <w:rStyle w:val="Hyperlink"/>
          </w:rPr>
          <w:t>272.452</w:t>
        </w:r>
        <w:r>
          <w:rPr>
            <w:rFonts w:asciiTheme="minorHAnsi" w:eastAsiaTheme="minorEastAsia" w:hAnsiTheme="minorHAnsi" w:cstheme="minorBidi"/>
            <w:kern w:val="2"/>
            <w:sz w:val="24"/>
            <w:szCs w:val="24"/>
            <w14:ligatures w14:val="standardContextual"/>
          </w:rPr>
          <w:tab/>
        </w:r>
        <w:r w:rsidRPr="00741BDD">
          <w:rPr>
            <w:rStyle w:val="Hyperlink"/>
          </w:rPr>
          <w:t>Tobacco Cessation Counseling Services</w:t>
        </w:r>
      </w:hyperlink>
    </w:p>
    <w:p w14:paraId="6CBF7E60"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4" w:history="1">
        <w:r w:rsidRPr="00741BDD">
          <w:rPr>
            <w:rStyle w:val="Hyperlink"/>
          </w:rPr>
          <w:t>272.460</w:t>
        </w:r>
        <w:r>
          <w:rPr>
            <w:rFonts w:asciiTheme="minorHAnsi" w:eastAsiaTheme="minorEastAsia" w:hAnsiTheme="minorHAnsi" w:cstheme="minorBidi"/>
            <w:kern w:val="2"/>
            <w:sz w:val="24"/>
            <w:szCs w:val="24"/>
            <w14:ligatures w14:val="standardContextual"/>
          </w:rPr>
          <w:tab/>
        </w:r>
        <w:r w:rsidRPr="00741BDD">
          <w:rPr>
            <w:rStyle w:val="Hyperlink"/>
          </w:rPr>
          <w:t>Medicare</w:t>
        </w:r>
      </w:hyperlink>
    </w:p>
    <w:p w14:paraId="0960079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5" w:history="1">
        <w:r w:rsidRPr="00741BDD">
          <w:rPr>
            <w:rStyle w:val="Hyperlink"/>
          </w:rPr>
          <w:t>272.461</w:t>
        </w:r>
        <w:r>
          <w:rPr>
            <w:rFonts w:asciiTheme="minorHAnsi" w:eastAsiaTheme="minorEastAsia" w:hAnsiTheme="minorHAnsi" w:cstheme="minorBidi"/>
            <w:kern w:val="2"/>
            <w:sz w:val="24"/>
            <w:szCs w:val="24"/>
            <w14:ligatures w14:val="standardContextual"/>
          </w:rPr>
          <w:tab/>
        </w:r>
        <w:r w:rsidRPr="00741BDD">
          <w:rPr>
            <w:rStyle w:val="Hyperlink"/>
          </w:rPr>
          <w:t>Services Prior to Medicare Entitlement</w:t>
        </w:r>
      </w:hyperlink>
    </w:p>
    <w:p w14:paraId="440FCFBF"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6" w:history="1">
        <w:r w:rsidRPr="00741BDD">
          <w:rPr>
            <w:rStyle w:val="Hyperlink"/>
          </w:rPr>
          <w:t>272.462</w:t>
        </w:r>
        <w:r>
          <w:rPr>
            <w:rFonts w:asciiTheme="minorHAnsi" w:eastAsiaTheme="minorEastAsia" w:hAnsiTheme="minorHAnsi" w:cstheme="minorBidi"/>
            <w:kern w:val="2"/>
            <w:sz w:val="24"/>
            <w:szCs w:val="24"/>
            <w14:ligatures w14:val="standardContextual"/>
          </w:rPr>
          <w:tab/>
        </w:r>
        <w:r w:rsidRPr="00741BDD">
          <w:rPr>
            <w:rStyle w:val="Hyperlink"/>
          </w:rPr>
          <w:t>Services Not Medicare Approved</w:t>
        </w:r>
      </w:hyperlink>
    </w:p>
    <w:p w14:paraId="2DA1AC7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7" w:history="1">
        <w:r w:rsidRPr="00741BDD">
          <w:rPr>
            <w:rStyle w:val="Hyperlink"/>
          </w:rPr>
          <w:t>272.470</w:t>
        </w:r>
        <w:r>
          <w:rPr>
            <w:rFonts w:asciiTheme="minorHAnsi" w:eastAsiaTheme="minorEastAsia" w:hAnsiTheme="minorHAnsi" w:cstheme="minorBidi"/>
            <w:kern w:val="2"/>
            <w:sz w:val="24"/>
            <w:szCs w:val="24"/>
            <w14:ligatures w14:val="standardContextual"/>
          </w:rPr>
          <w:tab/>
        </w:r>
        <w:r w:rsidRPr="00741BDD">
          <w:rPr>
            <w:rStyle w:val="Hyperlink"/>
          </w:rPr>
          <w:t>Newborn Care</w:t>
        </w:r>
      </w:hyperlink>
    </w:p>
    <w:p w14:paraId="2E619E5B"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8" w:history="1">
        <w:r w:rsidRPr="00741BDD">
          <w:rPr>
            <w:rStyle w:val="Hyperlink"/>
          </w:rPr>
          <w:t>272.471</w:t>
        </w:r>
        <w:r>
          <w:rPr>
            <w:rFonts w:asciiTheme="minorHAnsi" w:eastAsiaTheme="minorEastAsia" w:hAnsiTheme="minorHAnsi" w:cstheme="minorBidi"/>
            <w:kern w:val="2"/>
            <w:sz w:val="24"/>
            <w:szCs w:val="24"/>
            <w14:ligatures w14:val="standardContextual"/>
          </w:rPr>
          <w:tab/>
        </w:r>
        <w:r w:rsidRPr="00741BDD">
          <w:rPr>
            <w:rStyle w:val="Hyperlink"/>
          </w:rPr>
          <w:t>Health Examinations for ARKids First-B Beneficiaries and Medicaid Beneficiaries Under Age 21</w:t>
        </w:r>
      </w:hyperlink>
    </w:p>
    <w:p w14:paraId="7204D615"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09" w:history="1">
        <w:r w:rsidRPr="00741BDD">
          <w:rPr>
            <w:rStyle w:val="Hyperlink"/>
          </w:rPr>
          <w:t>272.480</w:t>
        </w:r>
        <w:r>
          <w:rPr>
            <w:rFonts w:asciiTheme="minorHAnsi" w:eastAsiaTheme="minorEastAsia" w:hAnsiTheme="minorHAnsi" w:cstheme="minorBidi"/>
            <w:kern w:val="2"/>
            <w:sz w:val="24"/>
            <w:szCs w:val="24"/>
            <w14:ligatures w14:val="standardContextual"/>
          </w:rPr>
          <w:tab/>
        </w:r>
        <w:r w:rsidRPr="00741BDD">
          <w:rPr>
            <w:rStyle w:val="Hyperlink"/>
          </w:rPr>
          <w:t>Nursing Home Visits</w:t>
        </w:r>
      </w:hyperlink>
    </w:p>
    <w:p w14:paraId="3E95D957"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0" w:history="1">
        <w:r w:rsidRPr="00741BDD">
          <w:rPr>
            <w:rStyle w:val="Hyperlink"/>
          </w:rPr>
          <w:t>272.490</w:t>
        </w:r>
        <w:r>
          <w:rPr>
            <w:rFonts w:asciiTheme="minorHAnsi" w:eastAsiaTheme="minorEastAsia" w:hAnsiTheme="minorHAnsi" w:cstheme="minorBidi"/>
            <w:kern w:val="2"/>
            <w:sz w:val="24"/>
            <w:szCs w:val="24"/>
            <w14:ligatures w14:val="standardContextual"/>
          </w:rPr>
          <w:tab/>
        </w:r>
        <w:r w:rsidRPr="00741BDD">
          <w:rPr>
            <w:rStyle w:val="Hyperlink"/>
          </w:rPr>
          <w:t>Obstetrical Care</w:t>
        </w:r>
      </w:hyperlink>
    </w:p>
    <w:p w14:paraId="15BFC63C"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1" w:history="1">
        <w:r w:rsidRPr="00741BDD">
          <w:rPr>
            <w:rStyle w:val="Hyperlink"/>
          </w:rPr>
          <w:t>272.494</w:t>
        </w:r>
        <w:r>
          <w:rPr>
            <w:rFonts w:asciiTheme="minorHAnsi" w:eastAsiaTheme="minorEastAsia" w:hAnsiTheme="minorHAnsi" w:cstheme="minorBidi"/>
            <w:kern w:val="2"/>
            <w:sz w:val="24"/>
            <w:szCs w:val="24"/>
            <w14:ligatures w14:val="standardContextual"/>
          </w:rPr>
          <w:tab/>
        </w:r>
        <w:r w:rsidRPr="00741BDD">
          <w:rPr>
            <w:rStyle w:val="Hyperlink"/>
          </w:rPr>
          <w:t>Fetal Non-Stress Test, Fetal Echography (Ultrasound) and External Fetal Monitoring</w:t>
        </w:r>
      </w:hyperlink>
    </w:p>
    <w:p w14:paraId="7924A749"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2" w:history="1">
        <w:r w:rsidRPr="00741BDD">
          <w:rPr>
            <w:rStyle w:val="Hyperlink"/>
          </w:rPr>
          <w:t>272.495</w:t>
        </w:r>
        <w:r>
          <w:rPr>
            <w:rFonts w:asciiTheme="minorHAnsi" w:eastAsiaTheme="minorEastAsia" w:hAnsiTheme="minorHAnsi" w:cstheme="minorBidi"/>
            <w:kern w:val="2"/>
            <w:sz w:val="24"/>
            <w:szCs w:val="24"/>
            <w14:ligatures w14:val="standardContextual"/>
          </w:rPr>
          <w:tab/>
        </w:r>
        <w:r w:rsidRPr="00741BDD">
          <w:rPr>
            <w:rStyle w:val="Hyperlink"/>
          </w:rPr>
          <w:t>Risk Management Services for Pregnancy</w:t>
        </w:r>
      </w:hyperlink>
    </w:p>
    <w:p w14:paraId="0E32A44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3" w:history="1">
        <w:r w:rsidRPr="00741BDD">
          <w:rPr>
            <w:rStyle w:val="Hyperlink"/>
          </w:rPr>
          <w:t>272.500</w:t>
        </w:r>
        <w:r>
          <w:rPr>
            <w:rFonts w:asciiTheme="minorHAnsi" w:eastAsiaTheme="minorEastAsia" w:hAnsiTheme="minorHAnsi" w:cstheme="minorBidi"/>
            <w:kern w:val="2"/>
            <w:sz w:val="24"/>
            <w:szCs w:val="24"/>
            <w14:ligatures w14:val="standardContextual"/>
          </w:rPr>
          <w:tab/>
        </w:r>
        <w:r w:rsidRPr="00741BDD">
          <w:rPr>
            <w:rStyle w:val="Hyperlink"/>
          </w:rPr>
          <w:t>Outpatient Hospital Services</w:t>
        </w:r>
      </w:hyperlink>
    </w:p>
    <w:p w14:paraId="47D48B36"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4" w:history="1">
        <w:r w:rsidRPr="00741BDD">
          <w:rPr>
            <w:rStyle w:val="Hyperlink"/>
          </w:rPr>
          <w:t>272.501</w:t>
        </w:r>
        <w:r>
          <w:rPr>
            <w:rFonts w:asciiTheme="minorHAnsi" w:eastAsiaTheme="minorEastAsia" w:hAnsiTheme="minorHAnsi" w:cstheme="minorBidi"/>
            <w:kern w:val="2"/>
            <w:sz w:val="24"/>
            <w:szCs w:val="24"/>
            <w14:ligatures w14:val="standardContextual"/>
          </w:rPr>
          <w:tab/>
        </w:r>
        <w:r w:rsidRPr="00741BDD">
          <w:rPr>
            <w:rStyle w:val="Hyperlink"/>
          </w:rPr>
          <w:t>Emergency Services</w:t>
        </w:r>
      </w:hyperlink>
    </w:p>
    <w:p w14:paraId="3FED6D89"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5" w:history="1">
        <w:r w:rsidRPr="00741BDD">
          <w:rPr>
            <w:rStyle w:val="Hyperlink"/>
          </w:rPr>
          <w:t>272.502</w:t>
        </w:r>
        <w:r>
          <w:rPr>
            <w:rFonts w:asciiTheme="minorHAnsi" w:eastAsiaTheme="minorEastAsia" w:hAnsiTheme="minorHAnsi" w:cstheme="minorBidi"/>
            <w:kern w:val="2"/>
            <w:sz w:val="24"/>
            <w:szCs w:val="24"/>
            <w14:ligatures w14:val="standardContextual"/>
          </w:rPr>
          <w:tab/>
        </w:r>
        <w:r w:rsidRPr="00741BDD">
          <w:rPr>
            <w:rStyle w:val="Hyperlink"/>
          </w:rPr>
          <w:t>Non-Emergency Services</w:t>
        </w:r>
      </w:hyperlink>
    </w:p>
    <w:p w14:paraId="128FEF39"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6" w:history="1">
        <w:r w:rsidRPr="00741BDD">
          <w:rPr>
            <w:rStyle w:val="Hyperlink"/>
          </w:rPr>
          <w:t>272.503</w:t>
        </w:r>
        <w:r>
          <w:rPr>
            <w:rFonts w:asciiTheme="minorHAnsi" w:eastAsiaTheme="minorEastAsia" w:hAnsiTheme="minorHAnsi" w:cstheme="minorBidi"/>
            <w:kern w:val="2"/>
            <w:sz w:val="24"/>
            <w:szCs w:val="24"/>
            <w14:ligatures w14:val="standardContextual"/>
          </w:rPr>
          <w:tab/>
        </w:r>
        <w:r w:rsidRPr="00741BDD">
          <w:rPr>
            <w:rStyle w:val="Hyperlink"/>
          </w:rPr>
          <w:t>Therapy and Treatment</w:t>
        </w:r>
      </w:hyperlink>
    </w:p>
    <w:p w14:paraId="36D91801"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7" w:history="1">
        <w:r w:rsidRPr="00741BDD">
          <w:rPr>
            <w:rStyle w:val="Hyperlink"/>
          </w:rPr>
          <w:t>272.510</w:t>
        </w:r>
        <w:r>
          <w:rPr>
            <w:rFonts w:asciiTheme="minorHAnsi" w:eastAsiaTheme="minorEastAsia" w:hAnsiTheme="minorHAnsi" w:cstheme="minorBidi"/>
            <w:kern w:val="2"/>
            <w:sz w:val="24"/>
            <w:szCs w:val="24"/>
            <w14:ligatures w14:val="standardContextual"/>
          </w:rPr>
          <w:tab/>
        </w:r>
        <w:r w:rsidRPr="00741BDD">
          <w:rPr>
            <w:rStyle w:val="Hyperlink"/>
          </w:rPr>
          <w:t>Pelvic Examinations, Removal of Sutures, Etc.</w:t>
        </w:r>
      </w:hyperlink>
    </w:p>
    <w:p w14:paraId="417A9DFA"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8" w:history="1">
        <w:r w:rsidRPr="00741BDD">
          <w:rPr>
            <w:rStyle w:val="Hyperlink"/>
          </w:rPr>
          <w:t>272.520</w:t>
        </w:r>
        <w:r>
          <w:rPr>
            <w:rFonts w:asciiTheme="minorHAnsi" w:eastAsiaTheme="minorEastAsia" w:hAnsiTheme="minorHAnsi" w:cstheme="minorBidi"/>
            <w:kern w:val="2"/>
            <w:sz w:val="24"/>
            <w:szCs w:val="24"/>
            <w14:ligatures w14:val="standardContextual"/>
          </w:rPr>
          <w:tab/>
        </w:r>
        <w:r w:rsidRPr="00741BDD">
          <w:rPr>
            <w:rStyle w:val="Hyperlink"/>
          </w:rPr>
          <w:t>Prior Authorization Control Number</w:t>
        </w:r>
      </w:hyperlink>
    </w:p>
    <w:p w14:paraId="180B61D4"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19" w:history="1">
        <w:r w:rsidRPr="00741BDD">
          <w:rPr>
            <w:rStyle w:val="Hyperlink"/>
          </w:rPr>
          <w:t>272.530</w:t>
        </w:r>
        <w:r>
          <w:rPr>
            <w:rFonts w:asciiTheme="minorHAnsi" w:eastAsiaTheme="minorEastAsia" w:hAnsiTheme="minorHAnsi" w:cstheme="minorBidi"/>
            <w:kern w:val="2"/>
            <w:sz w:val="24"/>
            <w:szCs w:val="24"/>
            <w14:ligatures w14:val="standardContextual"/>
          </w:rPr>
          <w:tab/>
        </w:r>
        <w:r w:rsidRPr="00741BDD">
          <w:rPr>
            <w:rStyle w:val="Hyperlink"/>
          </w:rPr>
          <w:t>Substitute Certified Nurse-Midwife</w:t>
        </w:r>
      </w:hyperlink>
    </w:p>
    <w:p w14:paraId="07B4CBF9"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20" w:history="1">
        <w:r w:rsidRPr="00741BDD">
          <w:rPr>
            <w:rStyle w:val="Hyperlink"/>
          </w:rPr>
          <w:t>272.531</w:t>
        </w:r>
        <w:r>
          <w:rPr>
            <w:rFonts w:asciiTheme="minorHAnsi" w:eastAsiaTheme="minorEastAsia" w:hAnsiTheme="minorHAnsi" w:cstheme="minorBidi"/>
            <w:kern w:val="2"/>
            <w:sz w:val="24"/>
            <w:szCs w:val="24"/>
            <w14:ligatures w14:val="standardContextual"/>
          </w:rPr>
          <w:tab/>
        </w:r>
        <w:r w:rsidRPr="00741BDD">
          <w:rPr>
            <w:rStyle w:val="Hyperlink"/>
          </w:rPr>
          <w:t>National Drug Codes (NDCs)</w:t>
        </w:r>
      </w:hyperlink>
    </w:p>
    <w:p w14:paraId="3E01CDA6"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21" w:history="1">
        <w:r w:rsidRPr="00741BDD">
          <w:rPr>
            <w:rStyle w:val="Hyperlink"/>
          </w:rPr>
          <w:t>272.532</w:t>
        </w:r>
        <w:r>
          <w:rPr>
            <w:rFonts w:asciiTheme="minorHAnsi" w:eastAsiaTheme="minorEastAsia" w:hAnsiTheme="minorHAnsi" w:cstheme="minorBidi"/>
            <w:kern w:val="2"/>
            <w:sz w:val="24"/>
            <w:szCs w:val="24"/>
            <w14:ligatures w14:val="standardContextual"/>
          </w:rPr>
          <w:tab/>
        </w:r>
        <w:r w:rsidRPr="00741BDD">
          <w:rPr>
            <w:rStyle w:val="Hyperlink"/>
          </w:rPr>
          <w:t>Obtaining a Prior Approval Letter</w:t>
        </w:r>
      </w:hyperlink>
    </w:p>
    <w:p w14:paraId="663B2A00" w14:textId="77777777" w:rsidR="005D59A2" w:rsidRDefault="005D59A2" w:rsidP="005D59A2">
      <w:pPr>
        <w:pStyle w:val="TOC2"/>
        <w:rPr>
          <w:rFonts w:asciiTheme="minorHAnsi" w:eastAsiaTheme="minorEastAsia" w:hAnsiTheme="minorHAnsi" w:cstheme="minorBidi"/>
          <w:kern w:val="2"/>
          <w:sz w:val="24"/>
          <w:szCs w:val="24"/>
          <w14:ligatures w14:val="standardContextual"/>
        </w:rPr>
      </w:pPr>
      <w:hyperlink w:anchor="_Toc201999222" w:history="1">
        <w:r w:rsidRPr="00741BDD">
          <w:rPr>
            <w:rStyle w:val="Hyperlink"/>
          </w:rPr>
          <w:t>272.533</w:t>
        </w:r>
        <w:r>
          <w:rPr>
            <w:rFonts w:asciiTheme="minorHAnsi" w:eastAsiaTheme="minorEastAsia" w:hAnsiTheme="minorHAnsi" w:cstheme="minorBidi"/>
            <w:kern w:val="2"/>
            <w:sz w:val="24"/>
            <w:szCs w:val="24"/>
            <w14:ligatures w14:val="standardContextual"/>
          </w:rPr>
          <w:tab/>
        </w:r>
        <w:r w:rsidRPr="00741BDD">
          <w:rPr>
            <w:rStyle w:val="Hyperlink"/>
          </w:rPr>
          <w:t>Injections, Therapeutic and/or Diagnostic Agents</w:t>
        </w:r>
      </w:hyperlink>
    </w:p>
    <w:p w14:paraId="3C7D5041" w14:textId="74B4DF2F" w:rsidR="00270F78" w:rsidRDefault="005D59A2" w:rsidP="00270F78">
      <w:pPr>
        <w:pStyle w:val="ctablespace"/>
      </w:pPr>
      <w:r w:rsidRPr="007503EF">
        <w:fldChar w:fldCharType="end"/>
      </w:r>
      <w:bookmarkEnd w:id="0"/>
    </w:p>
    <w:tbl>
      <w:tblPr>
        <w:tblW w:w="9360" w:type="dxa"/>
        <w:tblInd w:w="-3"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3D5ACA" w:rsidRPr="00F85189" w14:paraId="4F0E4B67" w14:textId="77777777" w:rsidTr="003D5ACA">
        <w:trPr>
          <w:cantSplit/>
        </w:trPr>
        <w:tc>
          <w:tcPr>
            <w:tcW w:w="8122" w:type="dxa"/>
          </w:tcPr>
          <w:p w14:paraId="17EBC898" w14:textId="604DFAAA" w:rsidR="003D5ACA" w:rsidRPr="00F85189" w:rsidRDefault="003D5ACA" w:rsidP="003D5ACA">
            <w:pPr>
              <w:pStyle w:val="chead2"/>
            </w:pPr>
            <w:bookmarkStart w:id="1" w:name="_Toc125430162"/>
            <w:bookmarkStart w:id="2" w:name="_Toc128820380"/>
            <w:bookmarkStart w:id="3" w:name="_Toc136401450"/>
            <w:bookmarkStart w:id="4" w:name="_Toc153869865"/>
            <w:r w:rsidRPr="007D5D28">
              <w:t>213.600</w:t>
            </w:r>
            <w:r w:rsidRPr="007D5D28">
              <w:tab/>
              <w:t>Certified Nurse-Midwife Services Benefit Limit</w:t>
            </w:r>
            <w:bookmarkEnd w:id="1"/>
            <w:bookmarkEnd w:id="2"/>
            <w:bookmarkEnd w:id="3"/>
            <w:bookmarkEnd w:id="4"/>
          </w:p>
        </w:tc>
        <w:tc>
          <w:tcPr>
            <w:tcW w:w="1238" w:type="dxa"/>
          </w:tcPr>
          <w:p w14:paraId="4B7B2A30" w14:textId="76660248" w:rsidR="003D5ACA" w:rsidRPr="00F85189" w:rsidRDefault="00C561EA" w:rsidP="003D5ACA">
            <w:pPr>
              <w:pStyle w:val="cDate2"/>
            </w:pPr>
            <w:r>
              <w:t>7-1-25</w:t>
            </w:r>
          </w:p>
        </w:tc>
      </w:tr>
    </w:tbl>
    <w:p w14:paraId="7B06D16F" w14:textId="3E46CF6D" w:rsidR="003D5ACA" w:rsidRPr="007D5D28" w:rsidRDefault="003D5ACA" w:rsidP="003D5ACA">
      <w:pPr>
        <w:pStyle w:val="ctext"/>
        <w:numPr>
          <w:ilvl w:val="12"/>
          <w:numId w:val="0"/>
        </w:numPr>
        <w:ind w:left="360"/>
      </w:pPr>
      <w:r w:rsidRPr="007D5D28">
        <w:t xml:space="preserve">Beneficiaries age </w:t>
      </w:r>
      <w:r w:rsidR="00F651A7" w:rsidRPr="00D02E1F">
        <w:rPr>
          <w:highlight w:val="yellow"/>
        </w:rPr>
        <w:t>twenty-one (</w:t>
      </w:r>
      <w:r w:rsidRPr="007D5D28">
        <w:t>21</w:t>
      </w:r>
      <w:r w:rsidR="00F651A7" w:rsidRPr="00D02E1F">
        <w:rPr>
          <w:highlight w:val="yellow"/>
        </w:rPr>
        <w:t>)</w:t>
      </w:r>
      <w:r w:rsidRPr="007D5D28">
        <w:t xml:space="preserve"> and older are limited to </w:t>
      </w:r>
      <w:r w:rsidR="003544DC" w:rsidRPr="00D02E1F">
        <w:rPr>
          <w:highlight w:val="yellow"/>
        </w:rPr>
        <w:t xml:space="preserve">sixteen </w:t>
      </w:r>
      <w:r w:rsidRPr="007D5D28">
        <w:t>(1</w:t>
      </w:r>
      <w:r w:rsidR="003544DC" w:rsidRPr="00D02E1F">
        <w:rPr>
          <w:highlight w:val="yellow"/>
        </w:rPr>
        <w:t>6</w:t>
      </w:r>
      <w:r w:rsidRPr="007D5D28">
        <w:t>) visits per state fiscal year (July 1 through June 30) for services provided by a certified nurse-midwife, physician’s services, rural health clinic services, medical services furnished by a dentist, office medical services by an optometrist, services provided by an advanced nurse practitioner, or a combination of the six.</w:t>
      </w:r>
    </w:p>
    <w:p w14:paraId="4F9D881C" w14:textId="429E0346" w:rsidR="003D5ACA" w:rsidRPr="007D5D28" w:rsidRDefault="003D5ACA" w:rsidP="003D5ACA">
      <w:pPr>
        <w:pStyle w:val="ctext"/>
        <w:numPr>
          <w:ilvl w:val="12"/>
          <w:numId w:val="0"/>
        </w:numPr>
        <w:ind w:left="360"/>
      </w:pPr>
      <w:r w:rsidRPr="007D5D28">
        <w:t>For example: A beneficiary who has had two office medical visits to the dentist, one office medical visit to an optometrist and two visits to a physician has used five of the limit</w:t>
      </w:r>
      <w:r w:rsidR="008A18E4" w:rsidRPr="00D02E1F">
        <w:rPr>
          <w:highlight w:val="yellow"/>
        </w:rPr>
        <w:t>ed</w:t>
      </w:r>
      <w:r w:rsidRPr="007D5D28">
        <w:t xml:space="preserve"> </w:t>
      </w:r>
      <w:r w:rsidR="00AC1CE0" w:rsidRPr="00D02E1F">
        <w:rPr>
          <w:highlight w:val="yellow"/>
        </w:rPr>
        <w:t xml:space="preserve">sixteen (16) </w:t>
      </w:r>
      <w:r w:rsidRPr="007D5D28">
        <w:t>visits per state fiscal year.</w:t>
      </w:r>
    </w:p>
    <w:p w14:paraId="697B6C84" w14:textId="42F05FBC" w:rsidR="003D5ACA" w:rsidRPr="007D5D28" w:rsidRDefault="003D5ACA" w:rsidP="003D5ACA">
      <w:pPr>
        <w:pStyle w:val="ctext"/>
        <w:numPr>
          <w:ilvl w:val="12"/>
          <w:numId w:val="0"/>
        </w:numPr>
        <w:ind w:left="360"/>
      </w:pPr>
      <w:r w:rsidRPr="007D5D28">
        <w:t xml:space="preserve">The following services are counted toward the </w:t>
      </w:r>
      <w:r w:rsidR="003544DC" w:rsidRPr="00D02E1F">
        <w:rPr>
          <w:highlight w:val="yellow"/>
        </w:rPr>
        <w:t>sixteen</w:t>
      </w:r>
      <w:r w:rsidR="008A18E4" w:rsidRPr="00D02E1F">
        <w:rPr>
          <w:highlight w:val="yellow"/>
        </w:rPr>
        <w:t xml:space="preserve"> </w:t>
      </w:r>
      <w:r w:rsidR="003544DC" w:rsidRPr="00D02E1F">
        <w:rPr>
          <w:highlight w:val="yellow"/>
        </w:rPr>
        <w:t>(</w:t>
      </w:r>
      <w:r w:rsidRPr="007D5D28">
        <w:t>1</w:t>
      </w:r>
      <w:r w:rsidR="003544DC" w:rsidRPr="00D02E1F">
        <w:rPr>
          <w:highlight w:val="yellow"/>
        </w:rPr>
        <w:t>6)</w:t>
      </w:r>
      <w:r w:rsidRPr="007D5D28">
        <w:t xml:space="preserve"> visits per state fiscal year limit established for the Certified Nurse-Midwife Program:</w:t>
      </w:r>
    </w:p>
    <w:p w14:paraId="3EFEF5B2" w14:textId="77777777" w:rsidR="003D5ACA" w:rsidRPr="007D5D28" w:rsidRDefault="003D5ACA" w:rsidP="003D5ACA">
      <w:pPr>
        <w:pStyle w:val="CLETTERED"/>
      </w:pPr>
      <w:r w:rsidRPr="007D5D28">
        <w:t>A.</w:t>
      </w:r>
      <w:r w:rsidRPr="007D5D28">
        <w:tab/>
        <w:t>Certified nurse-midwife services</w:t>
      </w:r>
    </w:p>
    <w:p w14:paraId="56247D29" w14:textId="5DA6F76A" w:rsidR="003D5ACA" w:rsidRPr="007D5D28" w:rsidRDefault="003D5ACA" w:rsidP="003D5ACA">
      <w:pPr>
        <w:pStyle w:val="CLETTERED"/>
      </w:pPr>
      <w:r w:rsidRPr="007D5D28">
        <w:t>B.</w:t>
      </w:r>
      <w:r w:rsidRPr="007D5D28">
        <w:tab/>
        <w:t>Physician services in the office, patient’s home</w:t>
      </w:r>
      <w:r w:rsidR="008A18E4" w:rsidRPr="00D02E1F">
        <w:rPr>
          <w:highlight w:val="yellow"/>
        </w:rPr>
        <w:t>,</w:t>
      </w:r>
      <w:r w:rsidRPr="007D5D28">
        <w:t xml:space="preserve"> or nursing facility</w:t>
      </w:r>
    </w:p>
    <w:p w14:paraId="50E28362" w14:textId="77777777" w:rsidR="003D5ACA" w:rsidRPr="007D5D28" w:rsidRDefault="003D5ACA" w:rsidP="003D5ACA">
      <w:pPr>
        <w:pStyle w:val="CLETTERED"/>
      </w:pPr>
      <w:r w:rsidRPr="007D5D28">
        <w:t>C.</w:t>
      </w:r>
      <w:r w:rsidRPr="007D5D28">
        <w:tab/>
        <w:t>Rural health clinic (RHC) core services</w:t>
      </w:r>
    </w:p>
    <w:p w14:paraId="1CD71940" w14:textId="77777777" w:rsidR="003D5ACA" w:rsidRPr="007D5D28" w:rsidRDefault="003D5ACA" w:rsidP="003D5ACA">
      <w:pPr>
        <w:pStyle w:val="CLETTERED"/>
      </w:pPr>
      <w:r w:rsidRPr="007D5D28">
        <w:t>D.</w:t>
      </w:r>
      <w:r w:rsidRPr="007D5D28">
        <w:tab/>
        <w:t>Medical services provided by a dentist</w:t>
      </w:r>
    </w:p>
    <w:p w14:paraId="02F06D24" w14:textId="77777777" w:rsidR="003D5ACA" w:rsidRPr="007D5D28" w:rsidRDefault="003D5ACA" w:rsidP="003D5ACA">
      <w:pPr>
        <w:pStyle w:val="CLETTERED"/>
      </w:pPr>
      <w:r w:rsidRPr="007D5D28">
        <w:t>E.</w:t>
      </w:r>
      <w:r w:rsidRPr="007D5D28">
        <w:tab/>
        <w:t>Medical services furnished by an optometrist</w:t>
      </w:r>
    </w:p>
    <w:p w14:paraId="5C97BD17" w14:textId="77777777" w:rsidR="003D5ACA" w:rsidRPr="007D5D28" w:rsidRDefault="003D5ACA" w:rsidP="003D5ACA">
      <w:pPr>
        <w:pStyle w:val="CLETTERED"/>
      </w:pPr>
      <w:r w:rsidRPr="007D5D28">
        <w:t>F.</w:t>
      </w:r>
      <w:r w:rsidRPr="007D5D28">
        <w:tab/>
        <w:t>Advanced nurse practitioner services</w:t>
      </w:r>
    </w:p>
    <w:p w14:paraId="1C529589" w14:textId="73C9E76B" w:rsidR="003D5ACA" w:rsidRPr="007D5D28" w:rsidRDefault="003544DC" w:rsidP="003D5ACA">
      <w:pPr>
        <w:pStyle w:val="ctext"/>
      </w:pPr>
      <w:r w:rsidRPr="00D02E1F">
        <w:rPr>
          <w:highlight w:val="yellow"/>
        </w:rPr>
        <w:t>Office visits coded with obstetrical visit procedure codes are not counted toward the visit limit. All other office visits count toward the established sixteen (16) visit limit.</w:t>
      </w:r>
      <w:r w:rsidR="008A18E4" w:rsidRPr="00D02E1F">
        <w:rPr>
          <w:highlight w:val="yellow"/>
        </w:rPr>
        <w:t xml:space="preserve"> </w:t>
      </w:r>
      <w:r w:rsidR="003D5ACA" w:rsidRPr="007D5D28">
        <w:t>Extensions of the benefit limit will be considered for services beyond the established benefit limit when documentation verifies medical necessity. Refer to Section 214.000 of this manual for procedures for obtaining extension of benefits.</w:t>
      </w:r>
    </w:p>
    <w:p w14:paraId="273F5AE6" w14:textId="77777777" w:rsidR="003D5ACA" w:rsidRPr="007D5D28" w:rsidRDefault="003D5ACA" w:rsidP="003D5ACA">
      <w:pPr>
        <w:pStyle w:val="ctext"/>
        <w:numPr>
          <w:ilvl w:val="12"/>
          <w:numId w:val="0"/>
        </w:numPr>
        <w:ind w:left="360"/>
        <w:rPr>
          <w:b/>
        </w:rPr>
      </w:pPr>
      <w:r w:rsidRPr="007D5D28">
        <w:rPr>
          <w:b/>
        </w:rPr>
        <w:t>Beneficiaries under age 21 in the Child Health Services (EPSDT) Program are not benefit limited.</w:t>
      </w:r>
    </w:p>
    <w:tbl>
      <w:tblPr>
        <w:tblW w:w="9360" w:type="dxa"/>
        <w:tblInd w:w="11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3D5ACA" w:rsidRPr="007D5D28" w14:paraId="55CEC826" w14:textId="77777777" w:rsidTr="00603193">
        <w:trPr>
          <w:cantSplit/>
        </w:trPr>
        <w:tc>
          <w:tcPr>
            <w:tcW w:w="8122" w:type="dxa"/>
            <w:hideMark/>
          </w:tcPr>
          <w:p w14:paraId="4E4CB77F" w14:textId="77777777" w:rsidR="003D5ACA" w:rsidRPr="007D5D28" w:rsidRDefault="003D5ACA" w:rsidP="00603193">
            <w:pPr>
              <w:pStyle w:val="chead2"/>
              <w:numPr>
                <w:ilvl w:val="12"/>
                <w:numId w:val="0"/>
              </w:numPr>
              <w:ind w:left="1440" w:hanging="1440"/>
            </w:pPr>
            <w:bookmarkStart w:id="5" w:name="_Toc153869891"/>
            <w:r w:rsidRPr="007D5D28">
              <w:t>240.100</w:t>
            </w:r>
            <w:r w:rsidRPr="007D5D28">
              <w:tab/>
              <w:t>Procedure for Obtaining Prior Authorization</w:t>
            </w:r>
            <w:bookmarkEnd w:id="5"/>
          </w:p>
        </w:tc>
        <w:tc>
          <w:tcPr>
            <w:tcW w:w="1238" w:type="dxa"/>
            <w:hideMark/>
          </w:tcPr>
          <w:p w14:paraId="70285196" w14:textId="23BFFAAB" w:rsidR="003D5ACA" w:rsidRPr="007D5D28" w:rsidRDefault="003D5ACA" w:rsidP="00603193">
            <w:pPr>
              <w:pStyle w:val="cDate2"/>
              <w:numPr>
                <w:ilvl w:val="12"/>
                <w:numId w:val="0"/>
              </w:numPr>
            </w:pPr>
            <w:r w:rsidRPr="007D5D28">
              <w:t>7-1-</w:t>
            </w:r>
            <w:r w:rsidR="00C561EA">
              <w:t>25</w:t>
            </w:r>
          </w:p>
        </w:tc>
      </w:tr>
    </w:tbl>
    <w:p w14:paraId="2AAE8D98" w14:textId="16C8AC5D" w:rsidR="000E45BA" w:rsidRPr="00D02E1F" w:rsidRDefault="003D5ACA" w:rsidP="003D5ACA">
      <w:pPr>
        <w:pStyle w:val="CLETTERED"/>
        <w:rPr>
          <w:highlight w:val="yellow"/>
        </w:rPr>
      </w:pPr>
      <w:r w:rsidRPr="007D5D28">
        <w:lastRenderedPageBreak/>
        <w:t>A.</w:t>
      </w:r>
      <w:r w:rsidRPr="007D5D28">
        <w:tab/>
      </w:r>
      <w:bookmarkStart w:id="6" w:name="_Hlk194052014"/>
      <w:r w:rsidRPr="007D5D28">
        <w:t xml:space="preserve">Certain medical and surgical procedures are </w:t>
      </w:r>
      <w:r w:rsidR="003544DC" w:rsidRPr="00D02E1F">
        <w:rPr>
          <w:highlight w:val="yellow"/>
        </w:rPr>
        <w:t xml:space="preserve">not </w:t>
      </w:r>
      <w:r w:rsidRPr="007D5D28">
        <w:t xml:space="preserve">covered </w:t>
      </w:r>
      <w:r w:rsidR="003544DC" w:rsidRPr="00D02E1F">
        <w:rPr>
          <w:highlight w:val="yellow"/>
        </w:rPr>
        <w:t>without</w:t>
      </w:r>
      <w:r w:rsidRPr="007D5D28">
        <w:t xml:space="preserve"> prior authoriz</w:t>
      </w:r>
      <w:r w:rsidR="003544DC" w:rsidRPr="00D02E1F">
        <w:rPr>
          <w:highlight w:val="yellow"/>
        </w:rPr>
        <w:t>ation</w:t>
      </w:r>
      <w:r w:rsidRPr="007D5D28">
        <w:t xml:space="preserve"> </w:t>
      </w:r>
      <w:r w:rsidR="006653BB" w:rsidRPr="00D02E1F">
        <w:rPr>
          <w:highlight w:val="yellow"/>
        </w:rPr>
        <w:t>due to</w:t>
      </w:r>
      <w:r w:rsidRPr="007D5D28">
        <w:t xml:space="preserve"> federal requirements</w:t>
      </w:r>
      <w:r w:rsidR="006653BB" w:rsidRPr="00D02E1F">
        <w:rPr>
          <w:highlight w:val="yellow"/>
        </w:rPr>
        <w:t>,</w:t>
      </w:r>
      <w:r w:rsidRPr="007D5D28">
        <w:t xml:space="preserve"> or because of the elective nature of the surgery.</w:t>
      </w:r>
      <w:bookmarkEnd w:id="6"/>
      <w:r w:rsidRPr="007D5D28">
        <w:t xml:space="preserve"> </w:t>
      </w:r>
      <w:hyperlink r:id="rId7" w:history="1">
        <w:r w:rsidR="000E45BA" w:rsidRPr="00D02E1F">
          <w:rPr>
            <w:rStyle w:val="Hyperlink"/>
            <w:highlight w:val="yellow"/>
          </w:rPr>
          <w:t>View or print the procedure codes for Certified Nurse Midwife (CNM) services for a listing of codes and requirements.</w:t>
        </w:r>
      </w:hyperlink>
    </w:p>
    <w:p w14:paraId="78E13FEE" w14:textId="4661806F" w:rsidR="003D5ACA" w:rsidRPr="007D5D28" w:rsidRDefault="000E45BA" w:rsidP="003D5ACA">
      <w:pPr>
        <w:pStyle w:val="CLETTERED"/>
      </w:pPr>
      <w:r w:rsidRPr="00D02E1F">
        <w:rPr>
          <w:highlight w:val="yellow"/>
        </w:rPr>
        <w:t>B.</w:t>
      </w:r>
      <w:r w:rsidRPr="00D02E1F">
        <w:rPr>
          <w:highlight w:val="yellow"/>
        </w:rPr>
        <w:tab/>
      </w:r>
      <w:r w:rsidR="003D5ACA" w:rsidRPr="007D5D28">
        <w:t xml:space="preserve">DHS or its designated vendor issues prior authorizations for restricted medical and surgical procedures covered by the Arkansas Medicaid Program. </w:t>
      </w:r>
      <w:hyperlink r:id="rId8" w:history="1">
        <w:r w:rsidR="003D5ACA" w:rsidRPr="007D5D28">
          <w:rPr>
            <w:rStyle w:val="Hyperlink"/>
          </w:rPr>
          <w:t>View or print contact information</w:t>
        </w:r>
      </w:hyperlink>
      <w:r w:rsidRPr="00D02E1F">
        <w:rPr>
          <w:highlight w:val="yellow"/>
        </w:rPr>
        <w:t xml:space="preserve"> to obtain the DHS or designated vendor step-by-step process for requesting prior authorizations.</w:t>
      </w:r>
    </w:p>
    <w:p w14:paraId="745E7D67" w14:textId="1438BDAE" w:rsidR="003D5ACA" w:rsidRPr="00D02E1F" w:rsidRDefault="000E45BA" w:rsidP="000E45BA">
      <w:pPr>
        <w:pStyle w:val="cnumbered"/>
        <w:rPr>
          <w:highlight w:val="yellow"/>
        </w:rPr>
      </w:pPr>
      <w:r w:rsidRPr="00D02E1F">
        <w:rPr>
          <w:highlight w:val="yellow"/>
        </w:rPr>
        <w:t>1</w:t>
      </w:r>
      <w:r w:rsidR="003D5ACA" w:rsidRPr="007D5D28">
        <w:t>.</w:t>
      </w:r>
      <w:r w:rsidR="003D5ACA" w:rsidRPr="007D5D28">
        <w:tab/>
        <w:t xml:space="preserve">Prior authorization determinations are in accordance with established medical </w:t>
      </w:r>
      <w:r w:rsidRPr="00D02E1F">
        <w:rPr>
          <w:highlight w:val="yellow"/>
        </w:rPr>
        <w:t>or</w:t>
      </w:r>
      <w:r w:rsidR="003D5ACA" w:rsidRPr="007D5D28">
        <w:t xml:space="preserve"> administrative criteria combined with the professional judgment of physician advisors.</w:t>
      </w:r>
    </w:p>
    <w:p w14:paraId="3C5DD3A0" w14:textId="68FCC2B5" w:rsidR="000E45BA" w:rsidRPr="007D5D28" w:rsidRDefault="000E45BA" w:rsidP="000E45BA">
      <w:pPr>
        <w:pStyle w:val="cnumbered"/>
      </w:pPr>
      <w:r w:rsidRPr="00D02E1F">
        <w:rPr>
          <w:highlight w:val="yellow"/>
        </w:rPr>
        <w:t>2.</w:t>
      </w:r>
      <w:r w:rsidRPr="00D02E1F">
        <w:rPr>
          <w:highlight w:val="yellow"/>
        </w:rPr>
        <w:tab/>
        <w:t>Payment for prior-authorized services is in accordance with federal regulations.</w:t>
      </w:r>
    </w:p>
    <w:p w14:paraId="67FDC0A4" w14:textId="5FD18856" w:rsidR="003D5ACA" w:rsidRPr="007D5D28" w:rsidRDefault="003D5ACA" w:rsidP="003D5ACA">
      <w:pPr>
        <w:pStyle w:val="CLETTERED"/>
      </w:pPr>
      <w:r w:rsidRPr="007D5D28">
        <w:t>C.</w:t>
      </w:r>
      <w:r w:rsidRPr="007D5D28">
        <w:tab/>
      </w:r>
      <w:r w:rsidR="002D63AF" w:rsidRPr="00D02E1F">
        <w:rPr>
          <w:highlight w:val="yellow"/>
        </w:rPr>
        <w:t>Prior authorization of services does not guarantee eligibility for a beneficiary. Payment is subject to verification that the beneficiary is Medicaid-eligible at the time services are provided.</w:t>
      </w:r>
    </w:p>
    <w:p w14:paraId="0CD446E5" w14:textId="04683A11" w:rsidR="003D5ACA" w:rsidRPr="00D02E1F" w:rsidRDefault="003D5ACA" w:rsidP="003D5ACA">
      <w:pPr>
        <w:pStyle w:val="CLETTERED"/>
        <w:rPr>
          <w:highlight w:val="yellow"/>
        </w:rPr>
      </w:pPr>
      <w:r w:rsidRPr="007D5D28">
        <w:t>D.</w:t>
      </w:r>
      <w:r w:rsidRPr="007D5D28">
        <w:tab/>
        <w:t xml:space="preserve">It is the responsibility of the certified nurse-midwife who will perform the procedure to initiate the prior authorization request. </w:t>
      </w:r>
      <w:r w:rsidR="00B024F3" w:rsidRPr="00D02E1F">
        <w:rPr>
          <w:highlight w:val="yellow"/>
        </w:rPr>
        <w:t xml:space="preserve">An electronic portal and training are available to submit requests to DHS or its designated vendor. </w:t>
      </w:r>
      <w:hyperlink r:id="rId9" w:history="1">
        <w:r w:rsidR="00B024F3" w:rsidRPr="00D02E1F">
          <w:rPr>
            <w:rStyle w:val="Hyperlink"/>
            <w:highlight w:val="yellow"/>
          </w:rPr>
          <w:t>View or print contact information to obtain the DHS or designated vendor step-by-step process for requesting prior authorization.</w:t>
        </w:r>
      </w:hyperlink>
    </w:p>
    <w:p w14:paraId="684185FB" w14:textId="06D07B6C" w:rsidR="00B024F3" w:rsidRPr="00D02E1F" w:rsidRDefault="00B024F3" w:rsidP="003D5ACA">
      <w:pPr>
        <w:pStyle w:val="CLETTERED"/>
        <w:rPr>
          <w:highlight w:val="yellow"/>
        </w:rPr>
      </w:pPr>
      <w:r w:rsidRPr="00D02E1F">
        <w:rPr>
          <w:highlight w:val="yellow"/>
        </w:rPr>
        <w:t>E.</w:t>
      </w:r>
      <w:r w:rsidRPr="00D02E1F">
        <w:rPr>
          <w:highlight w:val="yellow"/>
        </w:rPr>
        <w:tab/>
        <w:t>The provider must supply the identifying criteria for the beneficiary and provider and all medical data necessary to justify the procedures.</w:t>
      </w:r>
    </w:p>
    <w:p w14:paraId="5AB2C695" w14:textId="1D41229C" w:rsidR="003D5ACA" w:rsidRPr="007D5D28" w:rsidRDefault="00B024F3" w:rsidP="00BC4E83">
      <w:pPr>
        <w:pStyle w:val="CLETTERED"/>
      </w:pPr>
      <w:r w:rsidRPr="00D02E1F">
        <w:rPr>
          <w:highlight w:val="yellow"/>
        </w:rPr>
        <w:t>F.</w:t>
      </w:r>
      <w:r w:rsidRPr="00D02E1F">
        <w:rPr>
          <w:highlight w:val="yellow"/>
        </w:rPr>
        <w:tab/>
        <w:t>Consulting physicians or practitioners are responsible for having DHS or its designated vendor add their required or restricted procedures to the PA file. They will be given the prior authorization number at the time of contact on cases that are approved.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D5ACA" w:rsidRPr="007D5D28" w14:paraId="4815BA59" w14:textId="77777777" w:rsidTr="00183A39">
        <w:trPr>
          <w:cantSplit/>
        </w:trPr>
        <w:tc>
          <w:tcPr>
            <w:tcW w:w="8122" w:type="dxa"/>
            <w:tcBorders>
              <w:top w:val="single" w:sz="6" w:space="0" w:color="FFFFFF"/>
              <w:left w:val="single" w:sz="6" w:space="0" w:color="FFFFFF"/>
              <w:bottom w:val="single" w:sz="6" w:space="0" w:color="FFFFFF"/>
              <w:right w:val="single" w:sz="6" w:space="0" w:color="FFFFFF"/>
            </w:tcBorders>
          </w:tcPr>
          <w:p w14:paraId="4758202C" w14:textId="77777777" w:rsidR="003D5ACA" w:rsidRPr="009B601A" w:rsidRDefault="003D5ACA" w:rsidP="009B601A">
            <w:pPr>
              <w:pStyle w:val="chead2"/>
            </w:pPr>
            <w:bookmarkStart w:id="7" w:name="_Toc125430190"/>
            <w:bookmarkStart w:id="8" w:name="_Toc128820408"/>
            <w:bookmarkStart w:id="9" w:name="_Toc136401478"/>
            <w:bookmarkStart w:id="10" w:name="_Toc153869892"/>
            <w:r w:rsidRPr="009B601A">
              <w:t>240.110</w:t>
            </w:r>
            <w:r w:rsidRPr="009B601A">
              <w:tab/>
              <w:t>Post-Procedural Authorization Process</w:t>
            </w:r>
            <w:bookmarkEnd w:id="7"/>
            <w:bookmarkEnd w:id="8"/>
            <w:bookmarkEnd w:id="9"/>
            <w:bookmarkEnd w:id="10"/>
          </w:p>
        </w:tc>
        <w:tc>
          <w:tcPr>
            <w:tcW w:w="1238" w:type="dxa"/>
            <w:tcBorders>
              <w:top w:val="single" w:sz="6" w:space="0" w:color="FFFFFF"/>
              <w:left w:val="single" w:sz="6" w:space="0" w:color="FFFFFF"/>
              <w:bottom w:val="single" w:sz="6" w:space="0" w:color="FFFFFF"/>
              <w:right w:val="single" w:sz="6" w:space="0" w:color="FFFFFF"/>
            </w:tcBorders>
          </w:tcPr>
          <w:p w14:paraId="1AD7138D" w14:textId="66D98C0B" w:rsidR="003D5ACA" w:rsidRPr="007D5D28" w:rsidRDefault="003D5ACA" w:rsidP="00603193">
            <w:pPr>
              <w:pStyle w:val="cDate2"/>
              <w:numPr>
                <w:ilvl w:val="12"/>
                <w:numId w:val="0"/>
              </w:numPr>
            </w:pPr>
            <w:r w:rsidRPr="007D5D28">
              <w:t>7-1-</w:t>
            </w:r>
            <w:r w:rsidR="00C561EA">
              <w:t>25</w:t>
            </w:r>
          </w:p>
        </w:tc>
      </w:tr>
    </w:tbl>
    <w:p w14:paraId="2EDE784F" w14:textId="77777777" w:rsidR="00183A39" w:rsidRPr="00D02E1F" w:rsidRDefault="00183A39" w:rsidP="00183A39">
      <w:pPr>
        <w:pStyle w:val="ctext"/>
        <w:numPr>
          <w:ilvl w:val="12"/>
          <w:numId w:val="0"/>
        </w:numPr>
        <w:ind w:left="360"/>
        <w:rPr>
          <w:highlight w:val="yellow"/>
        </w:rPr>
      </w:pPr>
      <w:r w:rsidRPr="00D02E1F">
        <w:rPr>
          <w:highlight w:val="yellow"/>
        </w:rPr>
        <w:t>When a provider is unable to submit a request for required authorization prior to providing a service, a post-procedural authorization process must be followed to obtain an authorization number:</w:t>
      </w:r>
    </w:p>
    <w:p w14:paraId="27BA4458" w14:textId="72BE2A7F" w:rsidR="00183A39" w:rsidRPr="00D02E1F" w:rsidRDefault="00183A39" w:rsidP="00183A39">
      <w:pPr>
        <w:pStyle w:val="CLETTERED"/>
        <w:rPr>
          <w:highlight w:val="yellow"/>
        </w:rPr>
      </w:pPr>
      <w:r w:rsidRPr="00D02E1F">
        <w:rPr>
          <w:highlight w:val="yellow"/>
        </w:rPr>
        <w:t>A.</w:t>
      </w:r>
      <w:r w:rsidRPr="00D02E1F">
        <w:rPr>
          <w:highlight w:val="yellow"/>
        </w:rPr>
        <w:tab/>
        <w:t xml:space="preserve">All requests for post-procedural authorizations for eligible beneficiaries are to be made to DHS or its designated vendor. </w:t>
      </w:r>
      <w:hyperlink r:id="rId10" w:history="1">
        <w:r w:rsidRPr="00D02E1F">
          <w:rPr>
            <w:rStyle w:val="Hyperlink"/>
            <w:highlight w:val="yellow"/>
          </w:rPr>
          <w:t>View or print contact information to obtain the DHS or designated vendor step-by-step process for requesting prior authorization</w:t>
        </w:r>
      </w:hyperlink>
      <w:r w:rsidRPr="00D02E1F">
        <w:rPr>
          <w:highlight w:val="yellow"/>
        </w:rPr>
        <w:t>.</w:t>
      </w:r>
    </w:p>
    <w:p w14:paraId="2FDCAF0C" w14:textId="352406CE" w:rsidR="00183A39" w:rsidRPr="00D02E1F" w:rsidRDefault="00183A39" w:rsidP="00183A39">
      <w:pPr>
        <w:pStyle w:val="CLETTERED"/>
        <w:rPr>
          <w:highlight w:val="yellow"/>
        </w:rPr>
      </w:pPr>
      <w:r w:rsidRPr="00D02E1F">
        <w:rPr>
          <w:highlight w:val="yellow"/>
        </w:rPr>
        <w:t>B.</w:t>
      </w:r>
      <w:r w:rsidRPr="00D02E1F">
        <w:rPr>
          <w:highlight w:val="yellow"/>
        </w:rPr>
        <w:tab/>
        <w:t xml:space="preserve">Out-of-state providers and others without electronic capability may call DHS or its designated vendor to obtain the dates of eligibility. </w:t>
      </w:r>
      <w:hyperlink r:id="rId11" w:history="1">
        <w:r w:rsidRPr="00D02E1F">
          <w:rPr>
            <w:rStyle w:val="Hyperlink"/>
            <w:highlight w:val="yellow"/>
          </w:rPr>
          <w:t>View or print contact information to obtain dates of eligibility.</w:t>
        </w:r>
      </w:hyperlink>
    </w:p>
    <w:p w14:paraId="40343959" w14:textId="25B6AF69" w:rsidR="00183A39" w:rsidRPr="00D02E1F" w:rsidRDefault="00183A39" w:rsidP="00183A39">
      <w:pPr>
        <w:pStyle w:val="CLETTERED"/>
        <w:rPr>
          <w:highlight w:val="yellow"/>
        </w:rPr>
      </w:pPr>
      <w:r w:rsidRPr="00D02E1F">
        <w:rPr>
          <w:highlight w:val="yellow"/>
        </w:rPr>
        <w:t>C.</w:t>
      </w:r>
      <w:r w:rsidRPr="00D02E1F">
        <w:rPr>
          <w:highlight w:val="yellow"/>
        </w:rPr>
        <w:tab/>
        <w:t>The provider must supply the identifying criteria for the beneficiary and provider and all medical data necessary to justify the procedures.</w:t>
      </w:r>
    </w:p>
    <w:p w14:paraId="71B792C9" w14:textId="2063F1EE" w:rsidR="00183A39" w:rsidRPr="00D02E1F" w:rsidRDefault="00183A39" w:rsidP="00183A39">
      <w:pPr>
        <w:pStyle w:val="CLETTERED"/>
        <w:rPr>
          <w:highlight w:val="yellow"/>
        </w:rPr>
      </w:pPr>
      <w:r w:rsidRPr="00D02E1F">
        <w:rPr>
          <w:highlight w:val="yellow"/>
        </w:rPr>
        <w:t>D.</w:t>
      </w:r>
      <w:r w:rsidRPr="00D02E1F">
        <w:rPr>
          <w:highlight w:val="yellow"/>
        </w:rPr>
        <w:tab/>
        <w:t>Consulting physicians or practitioners are responsible for having DHS or its designated vendor add their required or restricted procedures to the PA file. They will be given the prior authorization number at the time of contact on cases that are approved.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903A3" w:rsidRPr="00D02E1F" w14:paraId="5D9A08B7" w14:textId="77777777" w:rsidTr="0098660A">
        <w:trPr>
          <w:cantSplit/>
        </w:trPr>
        <w:tc>
          <w:tcPr>
            <w:tcW w:w="8122" w:type="dxa"/>
            <w:tcBorders>
              <w:top w:val="single" w:sz="6" w:space="0" w:color="FFFFFF"/>
              <w:left w:val="single" w:sz="6" w:space="0" w:color="FFFFFF"/>
              <w:bottom w:val="single" w:sz="6" w:space="0" w:color="FFFFFF"/>
              <w:right w:val="single" w:sz="6" w:space="0" w:color="FFFFFF"/>
            </w:tcBorders>
          </w:tcPr>
          <w:p w14:paraId="7101C79C" w14:textId="77777777" w:rsidR="00A903A3" w:rsidRPr="00D02E1F" w:rsidRDefault="00A903A3" w:rsidP="002370F2">
            <w:pPr>
              <w:pStyle w:val="chead2"/>
              <w:numPr>
                <w:ilvl w:val="12"/>
                <w:numId w:val="0"/>
              </w:numPr>
              <w:ind w:left="1440" w:hanging="1440"/>
              <w:rPr>
                <w:highlight w:val="yellow"/>
              </w:rPr>
            </w:pPr>
            <w:bookmarkStart w:id="11" w:name="_Toc153869893"/>
            <w:r w:rsidRPr="00D02E1F">
              <w:rPr>
                <w:highlight w:val="yellow"/>
              </w:rPr>
              <w:t>240.120</w:t>
            </w:r>
            <w:r w:rsidRPr="00D02E1F">
              <w:rPr>
                <w:highlight w:val="yellow"/>
              </w:rPr>
              <w:tab/>
            </w:r>
            <w:bookmarkEnd w:id="11"/>
            <w:r w:rsidRPr="00D02E1F">
              <w:rPr>
                <w:highlight w:val="yellow"/>
              </w:rPr>
              <w:t>Post-Procedural Authorization Process for Beneficiaries who are Under Age 21</w:t>
            </w:r>
          </w:p>
        </w:tc>
        <w:tc>
          <w:tcPr>
            <w:tcW w:w="1238" w:type="dxa"/>
            <w:tcBorders>
              <w:top w:val="single" w:sz="6" w:space="0" w:color="FFFFFF"/>
              <w:left w:val="single" w:sz="6" w:space="0" w:color="FFFFFF"/>
              <w:bottom w:val="single" w:sz="6" w:space="0" w:color="FFFFFF"/>
              <w:right w:val="single" w:sz="6" w:space="0" w:color="FFFFFF"/>
            </w:tcBorders>
          </w:tcPr>
          <w:p w14:paraId="6C539578" w14:textId="77777777" w:rsidR="00A903A3" w:rsidRPr="00D02E1F" w:rsidRDefault="00A903A3" w:rsidP="002370F2">
            <w:pPr>
              <w:pStyle w:val="cDate2"/>
              <w:numPr>
                <w:ilvl w:val="12"/>
                <w:numId w:val="0"/>
              </w:numPr>
              <w:rPr>
                <w:highlight w:val="yellow"/>
              </w:rPr>
            </w:pPr>
            <w:r w:rsidRPr="00D02E1F">
              <w:rPr>
                <w:highlight w:val="yellow"/>
              </w:rPr>
              <w:t>7-1-25</w:t>
            </w:r>
          </w:p>
        </w:tc>
      </w:tr>
    </w:tbl>
    <w:p w14:paraId="167E6289" w14:textId="65BF489F" w:rsidR="0098660A" w:rsidRPr="007D5D28" w:rsidRDefault="0098660A" w:rsidP="0098660A">
      <w:pPr>
        <w:pStyle w:val="ctext"/>
        <w:numPr>
          <w:ilvl w:val="12"/>
          <w:numId w:val="0"/>
        </w:numPr>
        <w:ind w:left="360"/>
      </w:pPr>
      <w:r w:rsidRPr="007D5D28">
        <w:t xml:space="preserve">Providers performing surgical procedures that require prior authorization </w:t>
      </w:r>
      <w:r w:rsidRPr="00D02E1F">
        <w:rPr>
          <w:highlight w:val="yellow"/>
        </w:rPr>
        <w:t xml:space="preserve">for beneficiaries under age twenty-one (21) </w:t>
      </w:r>
      <w:r w:rsidRPr="007D5D28">
        <w:t xml:space="preserve">are allowed </w:t>
      </w:r>
      <w:r w:rsidRPr="00D02E1F">
        <w:rPr>
          <w:highlight w:val="yellow"/>
        </w:rPr>
        <w:t>sixty (</w:t>
      </w:r>
      <w:r w:rsidRPr="007D5D28">
        <w:t>60</w:t>
      </w:r>
      <w:r w:rsidRPr="00D02E1F">
        <w:rPr>
          <w:highlight w:val="yellow"/>
        </w:rPr>
        <w:t>)</w:t>
      </w:r>
      <w:r w:rsidRPr="007D5D28">
        <w:t xml:space="preserve"> days from the date of service to obtain a prior authorization number.</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903A3" w:rsidRPr="00D02E1F" w14:paraId="3F2C7E4C" w14:textId="77777777" w:rsidTr="0041386C">
        <w:trPr>
          <w:cantSplit/>
        </w:trPr>
        <w:tc>
          <w:tcPr>
            <w:tcW w:w="8122" w:type="dxa"/>
            <w:tcBorders>
              <w:top w:val="single" w:sz="6" w:space="0" w:color="FFFFFF"/>
              <w:left w:val="single" w:sz="6" w:space="0" w:color="FFFFFF"/>
              <w:bottom w:val="single" w:sz="6" w:space="0" w:color="FFFFFF"/>
              <w:right w:val="single" w:sz="6" w:space="0" w:color="FFFFFF"/>
            </w:tcBorders>
          </w:tcPr>
          <w:p w14:paraId="2197CA39" w14:textId="3896C567" w:rsidR="00A903A3" w:rsidRPr="00D02E1F" w:rsidRDefault="00A903A3" w:rsidP="002370F2">
            <w:pPr>
              <w:pStyle w:val="chead2"/>
              <w:numPr>
                <w:ilvl w:val="12"/>
                <w:numId w:val="0"/>
              </w:numPr>
              <w:ind w:left="1440" w:hanging="1440"/>
              <w:rPr>
                <w:highlight w:val="yellow"/>
              </w:rPr>
            </w:pPr>
            <w:r w:rsidRPr="00D02E1F">
              <w:rPr>
                <w:highlight w:val="yellow"/>
              </w:rPr>
              <w:lastRenderedPageBreak/>
              <w:t>240.130</w:t>
            </w:r>
            <w:r w:rsidRPr="00D02E1F">
              <w:rPr>
                <w:highlight w:val="yellow"/>
              </w:rPr>
              <w:tab/>
              <w:t>Post-Procedural Authorization for Beneficiaries Age</w:t>
            </w:r>
            <w:r w:rsidR="0098660A" w:rsidRPr="00D02E1F">
              <w:rPr>
                <w:highlight w:val="yellow"/>
              </w:rPr>
              <w:t>d</w:t>
            </w:r>
            <w:r w:rsidRPr="00D02E1F">
              <w:rPr>
                <w:highlight w:val="yellow"/>
              </w:rPr>
              <w:t xml:space="preserve"> 21</w:t>
            </w:r>
            <w:r w:rsidR="0098660A" w:rsidRPr="00D02E1F">
              <w:rPr>
                <w:highlight w:val="yellow"/>
              </w:rPr>
              <w:t xml:space="preserve"> and Older</w:t>
            </w:r>
          </w:p>
        </w:tc>
        <w:tc>
          <w:tcPr>
            <w:tcW w:w="1238" w:type="dxa"/>
            <w:tcBorders>
              <w:top w:val="single" w:sz="6" w:space="0" w:color="FFFFFF"/>
              <w:left w:val="single" w:sz="6" w:space="0" w:color="FFFFFF"/>
              <w:bottom w:val="single" w:sz="6" w:space="0" w:color="FFFFFF"/>
              <w:right w:val="single" w:sz="6" w:space="0" w:color="FFFFFF"/>
            </w:tcBorders>
          </w:tcPr>
          <w:p w14:paraId="57359F48" w14:textId="77777777" w:rsidR="00A903A3" w:rsidRPr="00D02E1F" w:rsidRDefault="00A903A3" w:rsidP="002370F2">
            <w:pPr>
              <w:pStyle w:val="cDate2"/>
              <w:numPr>
                <w:ilvl w:val="12"/>
                <w:numId w:val="0"/>
              </w:numPr>
              <w:rPr>
                <w:highlight w:val="yellow"/>
              </w:rPr>
            </w:pPr>
            <w:r w:rsidRPr="00D02E1F">
              <w:rPr>
                <w:highlight w:val="yellow"/>
              </w:rPr>
              <w:t>7-1-25</w:t>
            </w:r>
          </w:p>
        </w:tc>
      </w:tr>
    </w:tbl>
    <w:p w14:paraId="57667415" w14:textId="78354CF1" w:rsidR="00B90064" w:rsidRPr="00D02E1F" w:rsidRDefault="00B90064" w:rsidP="00B90064">
      <w:pPr>
        <w:pStyle w:val="ctext"/>
        <w:numPr>
          <w:ilvl w:val="12"/>
          <w:numId w:val="0"/>
        </w:numPr>
        <w:ind w:left="360"/>
        <w:rPr>
          <w:highlight w:val="yellow"/>
        </w:rPr>
      </w:pPr>
      <w:r w:rsidRPr="00D02E1F">
        <w:rPr>
          <w:highlight w:val="yellow"/>
        </w:rPr>
        <w:t>For beneficiaries aged twenty-one (21) and older, post-procedural authorization will be granted only for emergency procedures and in cases of retroactive eligibility. Requests for post-authorization of an emergency procedure must be submitted on the first business day after the procedure is performed.</w:t>
      </w:r>
    </w:p>
    <w:p w14:paraId="08AD345C" w14:textId="7887FD8B" w:rsidR="00B90064" w:rsidRPr="00B90064" w:rsidRDefault="00B90064" w:rsidP="003D5ACA">
      <w:pPr>
        <w:pStyle w:val="ctext"/>
        <w:numPr>
          <w:ilvl w:val="12"/>
          <w:numId w:val="0"/>
        </w:numPr>
        <w:ind w:left="360"/>
        <w:rPr>
          <w:highlight w:val="yellow"/>
        </w:rPr>
      </w:pPr>
      <w:r w:rsidRPr="00D02E1F">
        <w:rPr>
          <w:highlight w:val="yellow"/>
        </w:rPr>
        <w:t>In cases of retroactive eligibility, the provider must submit the request for post-authorization within sixty (60) days of the eligibility authorization date displayed in the electronic eligibility verification response.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E7168" w:rsidRPr="007D5D28" w14:paraId="52A3BD78" w14:textId="77777777" w:rsidTr="00603193">
        <w:trPr>
          <w:cantSplit/>
        </w:trPr>
        <w:tc>
          <w:tcPr>
            <w:tcW w:w="8122" w:type="dxa"/>
            <w:tcBorders>
              <w:top w:val="single" w:sz="6" w:space="0" w:color="FFFFFF"/>
              <w:left w:val="single" w:sz="6" w:space="0" w:color="FFFFFF"/>
              <w:bottom w:val="single" w:sz="6" w:space="0" w:color="FFFFFF"/>
              <w:right w:val="single" w:sz="6" w:space="0" w:color="FFFFFF"/>
            </w:tcBorders>
          </w:tcPr>
          <w:p w14:paraId="3AFF5416" w14:textId="65CF184B" w:rsidR="00DE7168" w:rsidRPr="007D5D28" w:rsidRDefault="00DE7168" w:rsidP="00603193">
            <w:pPr>
              <w:pStyle w:val="chead2"/>
              <w:numPr>
                <w:ilvl w:val="12"/>
                <w:numId w:val="0"/>
              </w:numPr>
              <w:ind w:left="1440" w:hanging="1440"/>
            </w:pPr>
            <w:r w:rsidRPr="007D5D28">
              <w:t>240.200</w:t>
            </w:r>
            <w:r w:rsidRPr="007D5D28">
              <w:tab/>
              <w:t>Prescription Prior Authorization</w:t>
            </w:r>
          </w:p>
        </w:tc>
        <w:tc>
          <w:tcPr>
            <w:tcW w:w="1238" w:type="dxa"/>
            <w:tcBorders>
              <w:top w:val="single" w:sz="6" w:space="0" w:color="FFFFFF"/>
              <w:left w:val="single" w:sz="6" w:space="0" w:color="FFFFFF"/>
              <w:bottom w:val="single" w:sz="6" w:space="0" w:color="FFFFFF"/>
              <w:right w:val="single" w:sz="6" w:space="0" w:color="FFFFFF"/>
            </w:tcBorders>
          </w:tcPr>
          <w:p w14:paraId="704999F2" w14:textId="54E3E7F6" w:rsidR="00DE7168" w:rsidRPr="007D5D28" w:rsidRDefault="00C561EA" w:rsidP="00603193">
            <w:pPr>
              <w:pStyle w:val="cDate2"/>
              <w:numPr>
                <w:ilvl w:val="12"/>
                <w:numId w:val="0"/>
              </w:numPr>
            </w:pPr>
            <w:r>
              <w:t>7-1-25</w:t>
            </w:r>
          </w:p>
        </w:tc>
      </w:tr>
    </w:tbl>
    <w:p w14:paraId="1897BD7B" w14:textId="26B77B13" w:rsidR="00076BD9" w:rsidRPr="00D02E1F" w:rsidRDefault="00DE7168" w:rsidP="00DE7168">
      <w:pPr>
        <w:pStyle w:val="ctext"/>
        <w:numPr>
          <w:ilvl w:val="12"/>
          <w:numId w:val="0"/>
        </w:numPr>
        <w:ind w:left="360"/>
        <w:rPr>
          <w:highlight w:val="yellow"/>
        </w:rPr>
      </w:pPr>
      <w:r w:rsidRPr="007D5D28">
        <w:t>Prescription drugs are available for reimbursement under the Arkansas Medicaid Program</w:t>
      </w:r>
      <w:r w:rsidR="00076BD9" w:rsidRPr="00D02E1F">
        <w:rPr>
          <w:highlight w:val="yellow"/>
        </w:rPr>
        <w:t xml:space="preserve"> when prescribed by a certified nurse midwife with prescriptive authority</w:t>
      </w:r>
      <w:r w:rsidRPr="007D5D28">
        <w:t xml:space="preserve">. </w:t>
      </w:r>
      <w:r w:rsidR="00076BD9" w:rsidRPr="00D02E1F">
        <w:rPr>
          <w:highlight w:val="yellow"/>
        </w:rPr>
        <w:t>Certain prescription drugs may require prior authorization</w:t>
      </w:r>
      <w:r w:rsidRPr="007D5D28">
        <w:t xml:space="preserve">. It is the responsibility of the prescriber to request and obtain the prior authorization. </w:t>
      </w:r>
      <w:r w:rsidR="00076BD9" w:rsidRPr="00D02E1F">
        <w:rPr>
          <w:highlight w:val="yellow"/>
        </w:rPr>
        <w:t>Information may be obtained from DHS or its designated vendor.</w:t>
      </w:r>
      <w:r w:rsidR="00472F9A" w:rsidRPr="00D02E1F">
        <w:rPr>
          <w:highlight w:val="yellow"/>
        </w:rPr>
        <w:t xml:space="preserve"> </w:t>
      </w:r>
      <w:hyperlink r:id="rId12" w:history="1">
        <w:r w:rsidR="00076BD9" w:rsidRPr="00D02E1F">
          <w:rPr>
            <w:rStyle w:val="Hyperlink"/>
            <w:highlight w:val="yellow"/>
          </w:rPr>
          <w:t>View or print contact information for DHS or designated prescription drug vendor</w:t>
        </w:r>
      </w:hyperlink>
      <w:r w:rsidR="00076BD9" w:rsidRPr="00D02E1F">
        <w:rPr>
          <w:highlight w:val="yellow"/>
        </w:rPr>
        <w:t>.</w:t>
      </w:r>
    </w:p>
    <w:p w14:paraId="236EF8B8" w14:textId="5F55803E" w:rsidR="00472F9A" w:rsidRPr="007D5D28" w:rsidRDefault="00472F9A" w:rsidP="00DE7168">
      <w:pPr>
        <w:pStyle w:val="ctext"/>
        <w:numPr>
          <w:ilvl w:val="12"/>
          <w:numId w:val="0"/>
        </w:numPr>
        <w:ind w:left="360"/>
      </w:pPr>
      <w:r w:rsidRPr="00D02E1F">
        <w:rPr>
          <w:highlight w:val="yellow"/>
        </w:rPr>
        <w:t>The following information is available through DHS or the designated prescription drug vendor:</w:t>
      </w:r>
    </w:p>
    <w:p w14:paraId="4FAE4984" w14:textId="77777777" w:rsidR="00DE7168" w:rsidRPr="007D5D28" w:rsidRDefault="00DE7168" w:rsidP="00DE7168">
      <w:pPr>
        <w:pStyle w:val="CLETTERED"/>
      </w:pPr>
      <w:r w:rsidRPr="007D5D28">
        <w:t>A.</w:t>
      </w:r>
      <w:r w:rsidRPr="007D5D28">
        <w:tab/>
        <w:t>Prescription drugs requiring prior authorization.</w:t>
      </w:r>
    </w:p>
    <w:p w14:paraId="6C47224B" w14:textId="77777777" w:rsidR="00DE7168" w:rsidRPr="007D5D28" w:rsidRDefault="00DE7168" w:rsidP="00DE7168">
      <w:pPr>
        <w:pStyle w:val="CLETTERED"/>
      </w:pPr>
      <w:r w:rsidRPr="007D5D28">
        <w:t>B.</w:t>
      </w:r>
      <w:r w:rsidRPr="007D5D28">
        <w:tab/>
        <w:t>Criteria for drugs requiring prior authorization.</w:t>
      </w:r>
    </w:p>
    <w:p w14:paraId="7FFB932D" w14:textId="77777777" w:rsidR="00DE7168" w:rsidRPr="007D5D28" w:rsidRDefault="00DE7168" w:rsidP="00DE7168">
      <w:pPr>
        <w:pStyle w:val="CLETTERED"/>
      </w:pPr>
      <w:r w:rsidRPr="007D5D28">
        <w:t>C.</w:t>
      </w:r>
      <w:r w:rsidRPr="007D5D28">
        <w:tab/>
        <w:t>Forms to be competed for prior authorization.</w:t>
      </w:r>
    </w:p>
    <w:p w14:paraId="714A0FF8" w14:textId="77777777" w:rsidR="00DE7168" w:rsidRPr="007D5D28" w:rsidRDefault="00DE7168" w:rsidP="00DE7168">
      <w:pPr>
        <w:pStyle w:val="CLETTERED"/>
      </w:pPr>
      <w:r w:rsidRPr="007D5D28">
        <w:t>D.</w:t>
      </w:r>
      <w:r w:rsidRPr="007D5D28">
        <w:tab/>
        <w:t>Procedures required of the prescriber to request and obtain prior authorization.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374AA" w:rsidRPr="007D5D28" w14:paraId="4E315FC5" w14:textId="77777777" w:rsidTr="00603193">
        <w:trPr>
          <w:cantSplit/>
        </w:trPr>
        <w:tc>
          <w:tcPr>
            <w:tcW w:w="8122" w:type="dxa"/>
            <w:tcBorders>
              <w:top w:val="single" w:sz="2" w:space="0" w:color="FFFFFF"/>
              <w:left w:val="single" w:sz="2" w:space="0" w:color="FFFFFF"/>
              <w:bottom w:val="single" w:sz="2" w:space="0" w:color="FFFFFF"/>
              <w:right w:val="single" w:sz="6" w:space="0" w:color="FFFFFF"/>
            </w:tcBorders>
          </w:tcPr>
          <w:p w14:paraId="1D61623E" w14:textId="77777777" w:rsidR="005374AA" w:rsidRPr="007D5D28" w:rsidRDefault="005374AA" w:rsidP="00603193">
            <w:pPr>
              <w:pStyle w:val="chead2"/>
            </w:pPr>
            <w:bookmarkStart w:id="12" w:name="_Toc436659066"/>
            <w:bookmarkStart w:id="13" w:name="_Toc153869934"/>
            <w:r w:rsidRPr="007D5D28">
              <w:t>272.470</w:t>
            </w:r>
            <w:r w:rsidRPr="007D5D28">
              <w:tab/>
              <w:t>Newborn Care</w:t>
            </w:r>
            <w:bookmarkEnd w:id="12"/>
            <w:bookmarkEnd w:id="13"/>
          </w:p>
        </w:tc>
        <w:tc>
          <w:tcPr>
            <w:tcW w:w="1238" w:type="dxa"/>
            <w:tcBorders>
              <w:top w:val="single" w:sz="2" w:space="0" w:color="FFFFFF"/>
              <w:left w:val="single" w:sz="6" w:space="0" w:color="FFFFFF"/>
              <w:bottom w:val="single" w:sz="2" w:space="0" w:color="FFFFFF"/>
              <w:right w:val="single" w:sz="2" w:space="0" w:color="FFFFFF"/>
            </w:tcBorders>
          </w:tcPr>
          <w:p w14:paraId="3C02B047" w14:textId="51936510" w:rsidR="005374AA" w:rsidRPr="007D5D28" w:rsidRDefault="00C561EA" w:rsidP="00603193">
            <w:pPr>
              <w:pStyle w:val="cDate2"/>
            </w:pPr>
            <w:r>
              <w:t>7-1-25</w:t>
            </w:r>
          </w:p>
        </w:tc>
      </w:tr>
    </w:tbl>
    <w:p w14:paraId="5733E973" w14:textId="49FD3601" w:rsidR="005374AA" w:rsidRPr="007D5D28" w:rsidRDefault="005374AA" w:rsidP="005374AA">
      <w:pPr>
        <w:pStyle w:val="ctext"/>
        <w:numPr>
          <w:ilvl w:val="12"/>
          <w:numId w:val="0"/>
        </w:numPr>
        <w:ind w:left="360"/>
      </w:pPr>
      <w:r w:rsidRPr="007D5D28">
        <w:t>All newborn services must be billed under the newborn’s own Medicaid identification number</w:t>
      </w:r>
      <w:r w:rsidR="00250EEE" w:rsidRPr="00D02E1F">
        <w:rPr>
          <w:highlight w:val="yellow"/>
        </w:rPr>
        <w:t>.</w:t>
      </w:r>
      <w:r w:rsidRPr="007D5D28">
        <w:t xml:space="preserve"> The parent(s) of the newborn will be responsible for applying for and meeting eligibility requirements for a newborn to be certified eligible. The hospital/physician/certified nurse-midwife can refer interested individuals to the Department of Human Services through the Hospital/Physician/Certified Nurse-Midwife Referral Program. If the newborn is not certified as Medicaid eligible, the parent(s) will be responsible for the charges incurred by the newborn.</w:t>
      </w:r>
    </w:p>
    <w:p w14:paraId="7D8FB54B" w14:textId="77777777" w:rsidR="005374AA" w:rsidRPr="007D5D28" w:rsidRDefault="005374AA" w:rsidP="005374AA">
      <w:pPr>
        <w:pStyle w:val="ctext"/>
        <w:numPr>
          <w:ilvl w:val="12"/>
          <w:numId w:val="0"/>
        </w:numPr>
        <w:ind w:left="360"/>
      </w:pPr>
      <w:hyperlink r:id="rId13" w:history="1">
        <w:r w:rsidRPr="007D5D28">
          <w:rPr>
            <w:rStyle w:val="Hyperlink"/>
          </w:rPr>
          <w:t>View or print the procedure codes for Certified Nurse Midwife (CNM) services.</w:t>
        </w:r>
      </w:hyperlink>
    </w:p>
    <w:p w14:paraId="0D2AFA41" w14:textId="530F7333" w:rsidR="005374AA" w:rsidRPr="007D5D28" w:rsidRDefault="005374AA" w:rsidP="005374AA">
      <w:pPr>
        <w:pStyle w:val="ctext"/>
        <w:numPr>
          <w:ilvl w:val="12"/>
          <w:numId w:val="0"/>
        </w:numPr>
        <w:ind w:left="360"/>
      </w:pPr>
      <w:r w:rsidRPr="007D5D28">
        <w:t xml:space="preserve">For routine newborn care following a vaginal delivery or C-section, procedure code should be used one time to cover all newborn care visits. </w:t>
      </w:r>
      <w:bookmarkStart w:id="14" w:name="_Hlk194048190"/>
      <w:r w:rsidRPr="007D5D28">
        <w:t xml:space="preserve">Payment of these </w:t>
      </w:r>
      <w:r w:rsidR="00250EEE" w:rsidRPr="00D02E1F">
        <w:rPr>
          <w:highlight w:val="yellow"/>
        </w:rPr>
        <w:t xml:space="preserve">newborn services </w:t>
      </w:r>
      <w:r w:rsidRPr="007D5D28">
        <w:t>is considered a global rate</w:t>
      </w:r>
      <w:r w:rsidR="00250EEE" w:rsidRPr="00D02E1F">
        <w:rPr>
          <w:highlight w:val="yellow"/>
        </w:rPr>
        <w:t>,</w:t>
      </w:r>
      <w:r w:rsidRPr="007D5D28">
        <w:t xml:space="preserve"> and subsequent visits may not be billed in addition.</w:t>
      </w:r>
      <w:bookmarkEnd w:id="14"/>
      <w:r w:rsidRPr="007D5D28">
        <w:t xml:space="preserve"> These codes include the physical exam of the baby and the conference(s) with the newborn’s parent(s) and are considered to be the initial Child Health Services (EPSDT) screen. Routine newborn care is exempt from the PCP requirement.</w:t>
      </w:r>
    </w:p>
    <w:p w14:paraId="44CF5AC4" w14:textId="6A8ABED3" w:rsidR="005374AA" w:rsidRPr="007D5D28" w:rsidRDefault="005374AA" w:rsidP="005374AA">
      <w:pPr>
        <w:pStyle w:val="ctext"/>
      </w:pPr>
      <w:r w:rsidRPr="007D5D28">
        <w:t>Note the descriptions, modifiers, and required diagnosis range. The newborn care procedure codes require a modifier and a primary detail diagnosis of V30.00-V37.21 for all providers. Refer to the appropriate manual(s) for additional information about newborn screenings.</w:t>
      </w:r>
    </w:p>
    <w:p w14:paraId="61D9F229" w14:textId="67C78DB3" w:rsidR="005374AA" w:rsidRPr="007D5D28" w:rsidRDefault="005374AA" w:rsidP="005374AA">
      <w:pPr>
        <w:pStyle w:val="ctext"/>
        <w:numPr>
          <w:ilvl w:val="12"/>
          <w:numId w:val="0"/>
        </w:numPr>
        <w:ind w:left="360"/>
      </w:pPr>
      <w:r w:rsidRPr="007D5D28">
        <w:t xml:space="preserve">For illness care (e.g., neonatal jaundice), use procedure codes. Do </w:t>
      </w:r>
      <w:r w:rsidRPr="007D5D28">
        <w:rPr>
          <w:b/>
        </w:rPr>
        <w:t>not</w:t>
      </w:r>
      <w:r w:rsidRPr="007D5D28">
        <w:t xml:space="preserve"> bill in addition to these codes.</w:t>
      </w:r>
    </w:p>
    <w:p w14:paraId="012BEA63" w14:textId="6D93FF31" w:rsidR="005374AA" w:rsidRPr="007D5D28" w:rsidRDefault="005374AA" w:rsidP="005374AA">
      <w:pPr>
        <w:pStyle w:val="ctext"/>
        <w:numPr>
          <w:ilvl w:val="12"/>
          <w:numId w:val="0"/>
        </w:numPr>
        <w:ind w:left="360"/>
      </w:pPr>
      <w:r w:rsidRPr="007D5D28">
        <w:t xml:space="preserve">For newborn resuscitation, </w:t>
      </w:r>
      <w:hyperlink r:id="rId14" w:history="1">
        <w:r w:rsidRPr="002820D7">
          <w:rPr>
            <w:rStyle w:val="Hyperlink"/>
          </w:rPr>
          <w:t xml:space="preserve">use </w:t>
        </w:r>
        <w:r w:rsidR="001772CA" w:rsidRPr="002820D7">
          <w:rPr>
            <w:rStyle w:val="Hyperlink"/>
            <w:highlight w:val="yellow"/>
          </w:rPr>
          <w:t xml:space="preserve">the </w:t>
        </w:r>
        <w:r w:rsidR="00F71613" w:rsidRPr="002820D7">
          <w:rPr>
            <w:rStyle w:val="Hyperlink"/>
            <w:highlight w:val="yellow"/>
          </w:rPr>
          <w:t xml:space="preserve">appropriate </w:t>
        </w:r>
        <w:r w:rsidRPr="002820D7">
          <w:rPr>
            <w:rStyle w:val="Hyperlink"/>
          </w:rPr>
          <w:t>procedure code</w:t>
        </w:r>
        <w:r w:rsidR="00F71613" w:rsidRPr="002820D7">
          <w:rPr>
            <w:rStyle w:val="Hyperlink"/>
            <w:highlight w:val="yellow"/>
          </w:rPr>
          <w:t xml:space="preserve"> as listed within the linked table</w:t>
        </w:r>
      </w:hyperlink>
      <w:r w:rsidRPr="007D5D28">
        <w:t>.</w:t>
      </w:r>
    </w:p>
    <w:p w14:paraId="1AE6C0ED" w14:textId="0B31273F" w:rsidR="001772CA" w:rsidRPr="00D02E1F" w:rsidRDefault="001772CA" w:rsidP="005374AA">
      <w:pPr>
        <w:pStyle w:val="ctext"/>
        <w:rPr>
          <w:highlight w:val="yellow"/>
        </w:rPr>
      </w:pPr>
      <w:proofErr w:type="spellStart"/>
      <w:r w:rsidRPr="00D02E1F">
        <w:rPr>
          <w:highlight w:val="yellow"/>
        </w:rPr>
        <w:lastRenderedPageBreak/>
        <w:t>ARKids</w:t>
      </w:r>
      <w:proofErr w:type="spellEnd"/>
      <w:r w:rsidRPr="00D02E1F">
        <w:rPr>
          <w:highlight w:val="yellow"/>
        </w:rPr>
        <w:t xml:space="preserve"> A and </w:t>
      </w:r>
      <w:proofErr w:type="spellStart"/>
      <w:r w:rsidRPr="00D02E1F">
        <w:rPr>
          <w:highlight w:val="yellow"/>
        </w:rPr>
        <w:t>ARKids</w:t>
      </w:r>
      <w:proofErr w:type="spellEnd"/>
      <w:r w:rsidRPr="00D02E1F">
        <w:rPr>
          <w:highlight w:val="yellow"/>
        </w:rPr>
        <w:t xml:space="preserve"> B beneficiary services require a CMS 1500 claim form and may be filed electronically or on paper. Please note the processing time for paper claims is extended for manual processing.</w:t>
      </w:r>
    </w:p>
    <w:p w14:paraId="0494EBFA" w14:textId="3BDEAB1F" w:rsidR="004A27DA" w:rsidRPr="00D02E1F" w:rsidRDefault="004A27DA" w:rsidP="005374AA">
      <w:pPr>
        <w:pStyle w:val="ctext"/>
        <w:rPr>
          <w:highlight w:val="yellow"/>
        </w:rPr>
      </w:pPr>
      <w:r w:rsidRPr="00D02E1F">
        <w:rPr>
          <w:highlight w:val="yellow"/>
        </w:rPr>
        <w:t xml:space="preserve">For </w:t>
      </w:r>
      <w:proofErr w:type="spellStart"/>
      <w:r w:rsidRPr="00D02E1F">
        <w:rPr>
          <w:highlight w:val="yellow"/>
        </w:rPr>
        <w:t>ARKids</w:t>
      </w:r>
      <w:proofErr w:type="spellEnd"/>
      <w:r w:rsidRPr="00D02E1F">
        <w:rPr>
          <w:highlight w:val="yellow"/>
        </w:rPr>
        <w:t xml:space="preserve"> B-beneficiaries, newborn screening codes must be billed electronically or on the paper CMS-1500 claim form. For information, call the Provider Assistance Center. </w:t>
      </w:r>
      <w:hyperlink r:id="rId15" w:history="1">
        <w:r w:rsidRPr="00D02E1F">
          <w:rPr>
            <w:rStyle w:val="Hyperlink"/>
            <w:highlight w:val="yellow"/>
          </w:rPr>
          <w:t>View or print the Provider Assistance Center contact information</w:t>
        </w:r>
      </w:hyperlink>
      <w:r w:rsidRPr="00D02E1F">
        <w:rPr>
          <w:highlight w:val="yellow"/>
        </w:rPr>
        <w:t>.</w:t>
      </w:r>
    </w:p>
    <w:p w14:paraId="68DCB27C" w14:textId="77777777" w:rsidR="005374AA" w:rsidRPr="007D5D28" w:rsidRDefault="005374AA" w:rsidP="005374AA">
      <w:pPr>
        <w:pStyle w:val="ctext"/>
        <w:numPr>
          <w:ilvl w:val="12"/>
          <w:numId w:val="0"/>
        </w:numPr>
        <w:ind w:left="360"/>
      </w:pPr>
      <w:r w:rsidRPr="007D5D28">
        <w:t>See Sections 241.000 – 243.310 of the EPSDT manual for specific EPSDT billing instructions.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A545B" w:rsidRPr="007D5D28" w14:paraId="5B67DC70" w14:textId="77777777" w:rsidTr="00603193">
        <w:trPr>
          <w:cantSplit/>
        </w:trPr>
        <w:tc>
          <w:tcPr>
            <w:tcW w:w="8122" w:type="dxa"/>
            <w:tcBorders>
              <w:top w:val="single" w:sz="6" w:space="0" w:color="FFFFFF"/>
              <w:left w:val="single" w:sz="6" w:space="0" w:color="FFFFFF"/>
              <w:bottom w:val="single" w:sz="6" w:space="0" w:color="FFFFFF"/>
              <w:right w:val="single" w:sz="6" w:space="0" w:color="FFFFFF"/>
            </w:tcBorders>
          </w:tcPr>
          <w:p w14:paraId="1B18A24C" w14:textId="77777777" w:rsidR="00FA545B" w:rsidRPr="007D5D28" w:rsidRDefault="00FA545B" w:rsidP="00603193">
            <w:pPr>
              <w:pStyle w:val="chead2"/>
              <w:numPr>
                <w:ilvl w:val="12"/>
                <w:numId w:val="0"/>
              </w:numPr>
              <w:ind w:left="1440" w:hanging="1440"/>
            </w:pPr>
            <w:bookmarkStart w:id="15" w:name="_Toc153869937"/>
            <w:r w:rsidRPr="007D5D28">
              <w:t>272.490</w:t>
            </w:r>
            <w:r w:rsidRPr="007D5D28">
              <w:tab/>
              <w:t>Obstetrical Care</w:t>
            </w:r>
            <w:bookmarkEnd w:id="15"/>
          </w:p>
        </w:tc>
        <w:tc>
          <w:tcPr>
            <w:tcW w:w="1238" w:type="dxa"/>
            <w:tcBorders>
              <w:top w:val="single" w:sz="6" w:space="0" w:color="FFFFFF"/>
              <w:left w:val="single" w:sz="6" w:space="0" w:color="FFFFFF"/>
              <w:bottom w:val="single" w:sz="6" w:space="0" w:color="FFFFFF"/>
              <w:right w:val="single" w:sz="6" w:space="0" w:color="FFFFFF"/>
            </w:tcBorders>
          </w:tcPr>
          <w:p w14:paraId="1B16F954" w14:textId="4EB08D48" w:rsidR="00FA545B" w:rsidRPr="007D5D28" w:rsidRDefault="00C561EA" w:rsidP="00603193">
            <w:pPr>
              <w:pStyle w:val="cDate2"/>
              <w:numPr>
                <w:ilvl w:val="12"/>
                <w:numId w:val="0"/>
              </w:numPr>
            </w:pPr>
            <w:r>
              <w:t>7-1-25</w:t>
            </w:r>
          </w:p>
        </w:tc>
      </w:tr>
    </w:tbl>
    <w:p w14:paraId="3A80951F" w14:textId="7C98EDAF" w:rsidR="00FA545B" w:rsidRPr="007D5D28" w:rsidRDefault="00A13527" w:rsidP="00FA545B">
      <w:pPr>
        <w:pStyle w:val="ctext"/>
        <w:numPr>
          <w:ilvl w:val="12"/>
          <w:numId w:val="0"/>
        </w:numPr>
        <w:ind w:left="360"/>
      </w:pPr>
      <w:r w:rsidRPr="00D02E1F">
        <w:rPr>
          <w:highlight w:val="yellow"/>
        </w:rPr>
        <w:t xml:space="preserve">Providers should bill for </w:t>
      </w:r>
      <w:r w:rsidR="00DD6944">
        <w:rPr>
          <w:highlight w:val="yellow"/>
        </w:rPr>
        <w:t>prenatal</w:t>
      </w:r>
      <w:r w:rsidRPr="00D02E1F">
        <w:rPr>
          <w:highlight w:val="yellow"/>
        </w:rPr>
        <w:t xml:space="preserve">, delivery, and postpartum services separately. Effective </w:t>
      </w:r>
      <w:r w:rsidR="00BC4E83" w:rsidRPr="00D02E1F">
        <w:rPr>
          <w:highlight w:val="yellow"/>
        </w:rPr>
        <w:br/>
      </w:r>
      <w:r w:rsidRPr="00D02E1F">
        <w:rPr>
          <w:highlight w:val="yellow"/>
        </w:rPr>
        <w:t>July 1, 2025, and thereafter, global obstetrical billing is not payable.</w:t>
      </w:r>
    </w:p>
    <w:p w14:paraId="2EEF9E0F" w14:textId="6161F47F" w:rsidR="00891F6B" w:rsidRPr="007D5D28" w:rsidRDefault="005E0002" w:rsidP="009B601A">
      <w:pPr>
        <w:pStyle w:val="ctext"/>
      </w:pPr>
      <w:bookmarkStart w:id="16" w:name="_Toc32397471"/>
      <w:bookmarkStart w:id="17" w:name="_Toc50283540"/>
      <w:r w:rsidRPr="00D02E1F">
        <w:rPr>
          <w:highlight w:val="yellow"/>
        </w:rPr>
        <w:t xml:space="preserve">When billing obstetrical services, </w:t>
      </w:r>
      <w:hyperlink r:id="rId16" w:history="1">
        <w:r w:rsidRPr="00D02E1F">
          <w:rPr>
            <w:rStyle w:val="Hyperlink"/>
            <w:highlight w:val="yellow"/>
          </w:rPr>
          <w:t>v</w:t>
        </w:r>
        <w:r w:rsidR="00891F6B" w:rsidRPr="00D02E1F">
          <w:rPr>
            <w:rStyle w:val="Hyperlink"/>
            <w:highlight w:val="yellow"/>
          </w:rPr>
          <w:t>iew or print the procedure codes for Certified Nurse Midwife (CNM) services</w:t>
        </w:r>
      </w:hyperlink>
      <w:r w:rsidR="00891F6B" w:rsidRPr="005E0002">
        <w:t>.</w:t>
      </w:r>
    </w:p>
    <w:p w14:paraId="4EC8A5F0" w14:textId="3198A008" w:rsidR="00891F6B" w:rsidRPr="001A0B70" w:rsidRDefault="00891F6B" w:rsidP="001A0B70">
      <w:pPr>
        <w:pStyle w:val="ctext"/>
      </w:pPr>
      <w:r w:rsidRPr="001A0B70">
        <w:t>Providers may bill laboratory and X-ray services separately using the appropriate CPT procedure codes if this is the certified nurse-midwife’s standard office practice.</w:t>
      </w:r>
    </w:p>
    <w:p w14:paraId="0292BE49" w14:textId="1130810C" w:rsidR="00891F6B" w:rsidRPr="007D5D28" w:rsidRDefault="00874FCB" w:rsidP="00874FCB">
      <w:pPr>
        <w:pStyle w:val="CLETTERED"/>
      </w:pPr>
      <w:r w:rsidRPr="00D02E1F">
        <w:rPr>
          <w:highlight w:val="yellow"/>
        </w:rPr>
        <w:t>A</w:t>
      </w:r>
      <w:r w:rsidR="00891F6B" w:rsidRPr="007D5D28">
        <w:t>.</w:t>
      </w:r>
      <w:r w:rsidR="00891F6B" w:rsidRPr="007D5D28">
        <w:tab/>
        <w:t>When lab tests or x-rays are pregnancy related, the referring certified nurse-midwife must be sure to code appropriately when these services are sent to the lab or x-ray facility. The diagnostic facilities are completely dependent on the referring certified nurse-midwife for diagnosis information necessary for reimbursement.</w:t>
      </w:r>
    </w:p>
    <w:p w14:paraId="529A9EAE" w14:textId="4EFAAD28" w:rsidR="00891F6B" w:rsidRPr="007D5D28" w:rsidRDefault="00874FCB" w:rsidP="00874FCB">
      <w:pPr>
        <w:pStyle w:val="CLETTERED"/>
      </w:pPr>
      <w:r w:rsidRPr="00D02E1F">
        <w:rPr>
          <w:highlight w:val="yellow"/>
        </w:rPr>
        <w:t>B</w:t>
      </w:r>
      <w:r w:rsidR="00891F6B" w:rsidRPr="007D5D28">
        <w:t>.</w:t>
      </w:r>
      <w:r w:rsidR="00891F6B" w:rsidRPr="007D5D28">
        <w:tab/>
        <w:t>The obstetrical laboratory profile procedure code consists of four components: complete blood count, VDRL, Rubella and blood typing with RH. If the ASO titer is performed, the test should be billed separately using the individual code.</w:t>
      </w:r>
    </w:p>
    <w:p w14:paraId="10C660D8" w14:textId="4040F120" w:rsidR="00891F6B" w:rsidRPr="007D5D28" w:rsidRDefault="00874FCB" w:rsidP="00874FCB">
      <w:pPr>
        <w:pStyle w:val="CLETTERED"/>
      </w:pPr>
      <w:r w:rsidRPr="00D02E1F">
        <w:rPr>
          <w:highlight w:val="yellow"/>
        </w:rPr>
        <w:t>C</w:t>
      </w:r>
      <w:r w:rsidR="00891F6B" w:rsidRPr="007D5D28">
        <w:t>.</w:t>
      </w:r>
      <w:r w:rsidR="00891F6B" w:rsidRPr="007D5D28">
        <w:tab/>
        <w:t>As with any laboratory procedure, if the specimen is sent to an outside laboratory, only a collection fee may be billed. The laboratory may then bill Medicaid for the laboratory procedure. Refer to Section 272.450 of this manual.</w:t>
      </w:r>
    </w:p>
    <w:p w14:paraId="257DEA9A" w14:textId="77777777" w:rsidR="00891F6B" w:rsidRPr="007D5D28" w:rsidRDefault="00891F6B" w:rsidP="00891F6B">
      <w:pPr>
        <w:pStyle w:val="Note"/>
        <w:ind w:left="1170"/>
      </w:pPr>
      <w:r w:rsidRPr="007D5D28">
        <w:t>NOTE:</w:t>
      </w:r>
      <w:r w:rsidRPr="007D5D28">
        <w:tab/>
        <w:t xml:space="preserve">Payment will not be made for emergency room certified nurse-midwife charges for an </w:t>
      </w:r>
      <w:smartTag w:uri="urn:schemas-microsoft-com:office:smarttags" w:element="PlaceType">
        <w:r w:rsidRPr="007D5D28">
          <w:t>OB</w:t>
        </w:r>
      </w:smartTag>
      <w:r w:rsidRPr="007D5D28">
        <w:t xml:space="preserve"> patient admitted directly from the emergency room into the hospital for delivery.</w:t>
      </w:r>
    </w:p>
    <w:p w14:paraId="5F4DE82E" w14:textId="422699F5" w:rsidR="00891F6B" w:rsidRPr="007D5D28" w:rsidRDefault="00891F6B" w:rsidP="00891F6B">
      <w:pPr>
        <w:pStyle w:val="ctext"/>
        <w:numPr>
          <w:ilvl w:val="12"/>
          <w:numId w:val="0"/>
        </w:numPr>
        <w:ind w:left="360"/>
      </w:pPr>
      <w:bookmarkStart w:id="18" w:name="_Toc32397472"/>
      <w:bookmarkStart w:id="19" w:name="_Toc50283541"/>
      <w:bookmarkEnd w:id="16"/>
      <w:bookmarkEnd w:id="17"/>
      <w:r w:rsidRPr="007D5D28">
        <w:t xml:space="preserve">Certified nurse-midwives must use </w:t>
      </w:r>
      <w:r w:rsidR="0072371E" w:rsidRPr="00D02E1F">
        <w:rPr>
          <w:highlight w:val="yellow"/>
        </w:rPr>
        <w:t xml:space="preserve">the appropriate </w:t>
      </w:r>
      <w:r w:rsidRPr="007D5D28">
        <w:t xml:space="preserve">procedure code with modifier </w:t>
      </w:r>
      <w:r w:rsidRPr="007D5D28">
        <w:rPr>
          <w:b/>
        </w:rPr>
        <w:t>UA</w:t>
      </w:r>
      <w:r w:rsidRPr="007D5D28">
        <w:t xml:space="preserve"> to bill for one to three visits for </w:t>
      </w:r>
      <w:r w:rsidR="00DD6944" w:rsidRPr="00DD6944">
        <w:rPr>
          <w:highlight w:val="yellow"/>
        </w:rPr>
        <w:t>prenatal</w:t>
      </w:r>
      <w:r w:rsidRPr="007D5D28">
        <w:t xml:space="preserve"> care.</w:t>
      </w:r>
    </w:p>
    <w:p w14:paraId="4AD10B58" w14:textId="0348C5CD" w:rsidR="00891F6B" w:rsidRPr="007D5D28" w:rsidRDefault="0072371E" w:rsidP="00891F6B">
      <w:pPr>
        <w:pStyle w:val="ctext"/>
      </w:pPr>
      <w:r w:rsidRPr="00D02E1F">
        <w:rPr>
          <w:highlight w:val="yellow"/>
        </w:rPr>
        <w:t>The appropriate p</w:t>
      </w:r>
      <w:r w:rsidR="00891F6B" w:rsidRPr="007D5D28">
        <w:t>rocedure code with no modifier must be used by providers to bill four to six</w:t>
      </w:r>
      <w:r w:rsidR="00B122F5" w:rsidRPr="00D02E1F">
        <w:rPr>
          <w:highlight w:val="yellow"/>
        </w:rPr>
        <w:t xml:space="preserve"> (6)</w:t>
      </w:r>
      <w:r w:rsidR="00891F6B" w:rsidRPr="007D5D28">
        <w:t xml:space="preserve"> visits for </w:t>
      </w:r>
      <w:r w:rsidR="00DD6944" w:rsidRPr="00DD6944">
        <w:rPr>
          <w:highlight w:val="yellow"/>
        </w:rPr>
        <w:t>prenatal</w:t>
      </w:r>
      <w:r w:rsidR="00891F6B" w:rsidRPr="007D5D28">
        <w:t xml:space="preserve"> care without delivery</w:t>
      </w:r>
      <w:r w:rsidRPr="00D02E1F">
        <w:rPr>
          <w:highlight w:val="yellow"/>
        </w:rPr>
        <w:t>,</w:t>
      </w:r>
      <w:r w:rsidR="00891F6B" w:rsidRPr="007D5D28">
        <w:t xml:space="preserve"> </w:t>
      </w:r>
      <w:r w:rsidR="00ED6E18" w:rsidRPr="00D02E1F">
        <w:rPr>
          <w:highlight w:val="yellow"/>
        </w:rPr>
        <w:t>a</w:t>
      </w:r>
      <w:r w:rsidRPr="00D02E1F">
        <w:rPr>
          <w:highlight w:val="yellow"/>
        </w:rPr>
        <w:t>nd the appropriate p</w:t>
      </w:r>
      <w:r w:rsidR="00891F6B" w:rsidRPr="007D5D28">
        <w:t xml:space="preserve">rocedure code with no modifier is to be used for </w:t>
      </w:r>
      <w:r w:rsidR="00F651A7" w:rsidRPr="00D02E1F">
        <w:rPr>
          <w:highlight w:val="yellow"/>
        </w:rPr>
        <w:t>seven (</w:t>
      </w:r>
      <w:r w:rsidR="00891F6B" w:rsidRPr="007D5D28">
        <w:t>7</w:t>
      </w:r>
      <w:r w:rsidR="00F651A7" w:rsidRPr="00D02E1F">
        <w:rPr>
          <w:highlight w:val="yellow"/>
        </w:rPr>
        <w:t>)</w:t>
      </w:r>
      <w:r w:rsidR="00891F6B" w:rsidRPr="007D5D28">
        <w:t xml:space="preserve"> or more visits without delivery.</w:t>
      </w:r>
    </w:p>
    <w:p w14:paraId="50AD189E" w14:textId="748D48A7" w:rsidR="00891F6B" w:rsidRPr="007D5D28" w:rsidRDefault="00707870" w:rsidP="00891F6B">
      <w:pPr>
        <w:pStyle w:val="ctext"/>
      </w:pPr>
      <w:hyperlink r:id="rId17" w:history="1">
        <w:r>
          <w:rPr>
            <w:rStyle w:val="Hyperlink"/>
          </w:rPr>
          <w:t xml:space="preserve">View or print the procedure codes for Certified Nurse Midwife (CNM) services </w:t>
        </w:r>
      </w:hyperlink>
      <w:r w:rsidRPr="00D02E1F">
        <w:rPr>
          <w:highlight w:val="yellow"/>
        </w:rPr>
        <w:t xml:space="preserve"> to identify which procedure codes are allowable.</w:t>
      </w:r>
    </w:p>
    <w:p w14:paraId="1B964396" w14:textId="2AD27AA0" w:rsidR="00891F6B" w:rsidRPr="007D5D28" w:rsidRDefault="00891F6B" w:rsidP="00891F6B">
      <w:pPr>
        <w:pStyle w:val="ctext"/>
        <w:numPr>
          <w:ilvl w:val="12"/>
          <w:numId w:val="0"/>
        </w:numPr>
        <w:ind w:left="360"/>
      </w:pPr>
      <w:r w:rsidRPr="007D5D28">
        <w:t>Coverage for this service will include routine sugar and protein analysis. One unit equals one visit. Units of service billed with this procedure code will not be counted against the patient’s office visit benefit limit.</w:t>
      </w:r>
    </w:p>
    <w:p w14:paraId="6EAB9154" w14:textId="739ADB8D" w:rsidR="00891F6B" w:rsidRPr="007D5D28" w:rsidRDefault="00891F6B" w:rsidP="00891F6B">
      <w:pPr>
        <w:pStyle w:val="ctext"/>
        <w:numPr>
          <w:ilvl w:val="12"/>
          <w:numId w:val="0"/>
        </w:numPr>
        <w:ind w:left="360"/>
      </w:pPr>
      <w:r w:rsidRPr="007D5D28">
        <w:t>Providers must enter the “from” and “through” dates of service on the claim and the number of units being billed. One visit equals one unit of service. Providers must submit the claim within 12 months of the first date of service.</w:t>
      </w:r>
    </w:p>
    <w:p w14:paraId="3FF95BDD" w14:textId="3FC8A3AB" w:rsidR="00DE7168" w:rsidRPr="00F85189" w:rsidRDefault="00891F6B" w:rsidP="00BC4E83">
      <w:pPr>
        <w:pStyle w:val="ctext"/>
        <w:numPr>
          <w:ilvl w:val="12"/>
          <w:numId w:val="0"/>
        </w:numPr>
        <w:ind w:left="360"/>
      </w:pPr>
      <w:r w:rsidRPr="007D5D28">
        <w:rPr>
          <w:b/>
        </w:rPr>
        <w:t>For example:</w:t>
      </w:r>
      <w:r w:rsidRPr="007D5D28">
        <w:t xml:space="preserve">  An </w:t>
      </w:r>
      <w:smartTag w:uri="urn:schemas-microsoft-com:office:smarttags" w:element="PlaceType">
        <w:r w:rsidRPr="007D5D28">
          <w:t>OB</w:t>
        </w:r>
      </w:smartTag>
      <w:r w:rsidRPr="007D5D28">
        <w:t xml:space="preserve"> patient is seen by the certified nurse-midwife on </w:t>
      </w:r>
      <w:smartTag w:uri="urn:schemas:contacts" w:element="nameSuffix">
        <w:smartTagPr>
          <w:attr w:name="Year" w:val="2005"/>
          <w:attr w:name="Day" w:val="10"/>
          <w:attr w:name="Month" w:val="1"/>
        </w:smartTagPr>
        <w:r w:rsidRPr="007D5D28">
          <w:t>1-10-05</w:t>
        </w:r>
      </w:smartTag>
      <w:r w:rsidRPr="007D5D28">
        <w:t xml:space="preserve">, </w:t>
      </w:r>
      <w:smartTag w:uri="urn:schemas:contacts" w:element="nameSuffix">
        <w:smartTagPr>
          <w:attr w:name="Year" w:val="2005"/>
          <w:attr w:name="Day" w:val="10"/>
          <w:attr w:name="Month" w:val="2"/>
        </w:smartTagPr>
        <w:r w:rsidRPr="007D5D28">
          <w:t>2-10-05</w:t>
        </w:r>
      </w:smartTag>
      <w:r w:rsidRPr="007D5D28">
        <w:t>, 3</w:t>
      </w:r>
      <w:r w:rsidRPr="007D5D28">
        <w:noBreakHyphen/>
        <w:t>10</w:t>
      </w:r>
      <w:r w:rsidRPr="007D5D28">
        <w:noBreakHyphen/>
        <w:t xml:space="preserve">05, </w:t>
      </w:r>
      <w:smartTag w:uri="urn:schemas:contacts" w:element="nameSuffix">
        <w:smartTagPr>
          <w:attr w:name="Year" w:val="2005"/>
          <w:attr w:name="Day" w:val="10"/>
          <w:attr w:name="Month" w:val="4"/>
        </w:smartTagPr>
        <w:r w:rsidRPr="007D5D28">
          <w:t>4-10-05</w:t>
        </w:r>
      </w:smartTag>
      <w:r w:rsidRPr="007D5D28">
        <w:t xml:space="preserve">, </w:t>
      </w:r>
      <w:smartTag w:uri="urn:schemas:contacts" w:element="nameSuffix">
        <w:smartTagPr>
          <w:attr w:name="Year" w:val="2005"/>
          <w:attr w:name="Day" w:val="10"/>
          <w:attr w:name="Month" w:val="5"/>
        </w:smartTagPr>
        <w:r w:rsidRPr="007D5D28">
          <w:t>5-10-05</w:t>
        </w:r>
      </w:smartTag>
      <w:r w:rsidRPr="007D5D28">
        <w:t xml:space="preserve"> and </w:t>
      </w:r>
      <w:smartTag w:uri="urn:schemas:contacts" w:element="nameSuffix">
        <w:smartTagPr>
          <w:attr w:name="Year" w:val="2005"/>
          <w:attr w:name="Day" w:val="10"/>
          <w:attr w:name="Month" w:val="6"/>
        </w:smartTagPr>
        <w:r w:rsidRPr="007D5D28">
          <w:t>6-10-05</w:t>
        </w:r>
      </w:smartTag>
      <w:r w:rsidRPr="007D5D28">
        <w:t xml:space="preserve">. The patient then moves and begins seeing another provider prior to the delivery. The certified nurse-midwife may submit a claim with dates of service shown as </w:t>
      </w:r>
      <w:smartTag w:uri="urn:schemas:contacts" w:element="nameSuffix">
        <w:smartTagPr>
          <w:attr w:name="Year" w:val="2005"/>
          <w:attr w:name="Day" w:val="10"/>
          <w:attr w:name="Month" w:val="1"/>
        </w:smartTagPr>
        <w:r w:rsidRPr="007D5D28">
          <w:t>1-10-05</w:t>
        </w:r>
      </w:smartTag>
      <w:r w:rsidRPr="007D5D28">
        <w:t xml:space="preserve"> through </w:t>
      </w:r>
      <w:smartTag w:uri="urn:schemas:contacts" w:element="nameSuffix">
        <w:smartTagPr>
          <w:attr w:name="Year" w:val="2005"/>
          <w:attr w:name="Day" w:val="10"/>
          <w:attr w:name="Month" w:val="6"/>
        </w:smartTagPr>
        <w:r w:rsidRPr="007D5D28">
          <w:t>6-10-05</w:t>
        </w:r>
      </w:smartTag>
      <w:r w:rsidRPr="007D5D28">
        <w:t xml:space="preserve"> and 6 units of service entered in the appropriate field. This claim must be received by the Arkansas Medicaid fiscal agent prior to </w:t>
      </w:r>
      <w:r w:rsidR="00B122F5" w:rsidRPr="00D02E1F">
        <w:rPr>
          <w:highlight w:val="yellow"/>
        </w:rPr>
        <w:t>twelve (</w:t>
      </w:r>
      <w:r w:rsidRPr="007D5D28">
        <w:t>12</w:t>
      </w:r>
      <w:r w:rsidR="00B122F5" w:rsidRPr="00D02E1F">
        <w:rPr>
          <w:highlight w:val="yellow"/>
        </w:rPr>
        <w:t>)</w:t>
      </w:r>
      <w:r w:rsidRPr="007D5D28">
        <w:t xml:space="preserve"> months </w:t>
      </w:r>
      <w:r w:rsidRPr="007D5D28">
        <w:lastRenderedPageBreak/>
        <w:t>from 1-10-05 to fall within the 12-month filing deadline. The certified nurse-midwife must have on file the patient’s medical record that reflects each date of service being billed.</w:t>
      </w:r>
      <w:bookmarkEnd w:id="18"/>
      <w:bookmarkEnd w:id="19"/>
    </w:p>
    <w:sectPr w:rsidR="00DE7168" w:rsidRPr="00F85189">
      <w:headerReference w:type="default" r:id="rId18"/>
      <w:footerReference w:type="default" r:id="rId19"/>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89C04" w14:textId="77777777" w:rsidR="00130603" w:rsidRDefault="00130603">
      <w:r>
        <w:separator/>
      </w:r>
    </w:p>
  </w:endnote>
  <w:endnote w:type="continuationSeparator" w:id="0">
    <w:p w14:paraId="1350999C" w14:textId="77777777" w:rsidR="00130603" w:rsidRDefault="00130603">
      <w:r>
        <w:continuationSeparator/>
      </w:r>
    </w:p>
  </w:endnote>
  <w:endnote w:type="continuationNotice" w:id="1">
    <w:p w14:paraId="119AA978" w14:textId="77777777" w:rsidR="00ED630F" w:rsidRDefault="00ED6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4D30"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F37C" w14:textId="77777777" w:rsidR="00130603" w:rsidRDefault="00130603">
      <w:r>
        <w:separator/>
      </w:r>
    </w:p>
  </w:footnote>
  <w:footnote w:type="continuationSeparator" w:id="0">
    <w:p w14:paraId="037BEBFA" w14:textId="77777777" w:rsidR="00130603" w:rsidRDefault="00130603">
      <w:r>
        <w:continuationSeparator/>
      </w:r>
    </w:p>
  </w:footnote>
  <w:footnote w:type="continuationNotice" w:id="1">
    <w:p w14:paraId="5737D07F" w14:textId="77777777" w:rsidR="00ED630F" w:rsidRDefault="00ED6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7676" w14:textId="096489EE" w:rsidR="00093EFD" w:rsidRDefault="00421D47" w:rsidP="006C1763">
    <w:pPr>
      <w:pStyle w:val="Header"/>
      <w:pBdr>
        <w:bottom w:val="single" w:sz="8" w:space="1" w:color="000000"/>
      </w:pBdr>
      <w:spacing w:after="120"/>
    </w:pPr>
    <w:r>
      <w:t>Certified Nurse-Midwife</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507411012">
    <w:abstractNumId w:val="13"/>
  </w:num>
  <w:num w:numId="2" w16cid:durableId="1262253160">
    <w:abstractNumId w:val="12"/>
  </w:num>
  <w:num w:numId="3" w16cid:durableId="41635717">
    <w:abstractNumId w:val="14"/>
  </w:num>
  <w:num w:numId="4" w16cid:durableId="1802337392">
    <w:abstractNumId w:val="15"/>
  </w:num>
  <w:num w:numId="5" w16cid:durableId="529683734">
    <w:abstractNumId w:val="9"/>
  </w:num>
  <w:num w:numId="6" w16cid:durableId="2052220824">
    <w:abstractNumId w:val="9"/>
  </w:num>
  <w:num w:numId="7" w16cid:durableId="280646028">
    <w:abstractNumId w:val="7"/>
  </w:num>
  <w:num w:numId="8" w16cid:durableId="909925576">
    <w:abstractNumId w:val="7"/>
  </w:num>
  <w:num w:numId="9" w16cid:durableId="673151327">
    <w:abstractNumId w:val="6"/>
  </w:num>
  <w:num w:numId="10" w16cid:durableId="1933200288">
    <w:abstractNumId w:val="6"/>
  </w:num>
  <w:num w:numId="11" w16cid:durableId="1842961607">
    <w:abstractNumId w:val="5"/>
  </w:num>
  <w:num w:numId="12" w16cid:durableId="160197172">
    <w:abstractNumId w:val="5"/>
  </w:num>
  <w:num w:numId="13" w16cid:durableId="331614054">
    <w:abstractNumId w:val="4"/>
  </w:num>
  <w:num w:numId="14" w16cid:durableId="170413041">
    <w:abstractNumId w:val="4"/>
  </w:num>
  <w:num w:numId="15" w16cid:durableId="412049196">
    <w:abstractNumId w:val="8"/>
  </w:num>
  <w:num w:numId="16" w16cid:durableId="1732078308">
    <w:abstractNumId w:val="8"/>
  </w:num>
  <w:num w:numId="17" w16cid:durableId="1891766786">
    <w:abstractNumId w:val="3"/>
  </w:num>
  <w:num w:numId="18" w16cid:durableId="58092853">
    <w:abstractNumId w:val="3"/>
  </w:num>
  <w:num w:numId="19" w16cid:durableId="1416854730">
    <w:abstractNumId w:val="2"/>
  </w:num>
  <w:num w:numId="20" w16cid:durableId="667681751">
    <w:abstractNumId w:val="2"/>
  </w:num>
  <w:num w:numId="21" w16cid:durableId="1988435973">
    <w:abstractNumId w:val="1"/>
  </w:num>
  <w:num w:numId="22" w16cid:durableId="180172688">
    <w:abstractNumId w:val="1"/>
  </w:num>
  <w:num w:numId="23" w16cid:durableId="1258323239">
    <w:abstractNumId w:val="0"/>
  </w:num>
  <w:num w:numId="24" w16cid:durableId="585501161">
    <w:abstractNumId w:val="0"/>
  </w:num>
  <w:num w:numId="25" w16cid:durableId="1501194624">
    <w:abstractNumId w:val="10"/>
  </w:num>
  <w:num w:numId="26" w16cid:durableId="744105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03"/>
    <w:rsid w:val="00002D3D"/>
    <w:rsid w:val="00040BC9"/>
    <w:rsid w:val="000741B8"/>
    <w:rsid w:val="00075946"/>
    <w:rsid w:val="00076BD9"/>
    <w:rsid w:val="00093EFD"/>
    <w:rsid w:val="000E45BA"/>
    <w:rsid w:val="00124644"/>
    <w:rsid w:val="00127E13"/>
    <w:rsid w:val="00130603"/>
    <w:rsid w:val="001500C7"/>
    <w:rsid w:val="00163B7D"/>
    <w:rsid w:val="001772CA"/>
    <w:rsid w:val="00183A39"/>
    <w:rsid w:val="00197CCB"/>
    <w:rsid w:val="001A0B70"/>
    <w:rsid w:val="001E3BA1"/>
    <w:rsid w:val="00214426"/>
    <w:rsid w:val="00223796"/>
    <w:rsid w:val="00232D7A"/>
    <w:rsid w:val="00250EEE"/>
    <w:rsid w:val="0026253D"/>
    <w:rsid w:val="00266D9E"/>
    <w:rsid w:val="00270F78"/>
    <w:rsid w:val="002820D7"/>
    <w:rsid w:val="002C2364"/>
    <w:rsid w:val="002D63AF"/>
    <w:rsid w:val="002D6ECD"/>
    <w:rsid w:val="0031405B"/>
    <w:rsid w:val="00326141"/>
    <w:rsid w:val="0033579A"/>
    <w:rsid w:val="003544DC"/>
    <w:rsid w:val="00361E91"/>
    <w:rsid w:val="003C70E0"/>
    <w:rsid w:val="003C73DD"/>
    <w:rsid w:val="003D5ACA"/>
    <w:rsid w:val="0041386C"/>
    <w:rsid w:val="004145CB"/>
    <w:rsid w:val="00421D47"/>
    <w:rsid w:val="00472F9A"/>
    <w:rsid w:val="004869E4"/>
    <w:rsid w:val="004942A1"/>
    <w:rsid w:val="004A27DA"/>
    <w:rsid w:val="004A4DBA"/>
    <w:rsid w:val="004C70A6"/>
    <w:rsid w:val="005374AA"/>
    <w:rsid w:val="005763D1"/>
    <w:rsid w:val="005C5AF7"/>
    <w:rsid w:val="005C5E01"/>
    <w:rsid w:val="005D59A2"/>
    <w:rsid w:val="005E0002"/>
    <w:rsid w:val="00637E45"/>
    <w:rsid w:val="006653BB"/>
    <w:rsid w:val="006B241B"/>
    <w:rsid w:val="006C1763"/>
    <w:rsid w:val="006F1AE2"/>
    <w:rsid w:val="00705D7F"/>
    <w:rsid w:val="00707870"/>
    <w:rsid w:val="0072371E"/>
    <w:rsid w:val="00740DA8"/>
    <w:rsid w:val="007440C1"/>
    <w:rsid w:val="00785DCE"/>
    <w:rsid w:val="007E09B5"/>
    <w:rsid w:val="007F5F43"/>
    <w:rsid w:val="00822E8F"/>
    <w:rsid w:val="0084647E"/>
    <w:rsid w:val="008650B7"/>
    <w:rsid w:val="00874FCB"/>
    <w:rsid w:val="00885FE3"/>
    <w:rsid w:val="00891F6B"/>
    <w:rsid w:val="00897055"/>
    <w:rsid w:val="008A18E4"/>
    <w:rsid w:val="008B302B"/>
    <w:rsid w:val="008B4877"/>
    <w:rsid w:val="008C155D"/>
    <w:rsid w:val="00921A57"/>
    <w:rsid w:val="009536A3"/>
    <w:rsid w:val="0098660A"/>
    <w:rsid w:val="00990253"/>
    <w:rsid w:val="009B601A"/>
    <w:rsid w:val="009F1AA6"/>
    <w:rsid w:val="00A13527"/>
    <w:rsid w:val="00A21271"/>
    <w:rsid w:val="00A237F0"/>
    <w:rsid w:val="00A56DE0"/>
    <w:rsid w:val="00A7399D"/>
    <w:rsid w:val="00A86B31"/>
    <w:rsid w:val="00A903A3"/>
    <w:rsid w:val="00A9693F"/>
    <w:rsid w:val="00AC1CE0"/>
    <w:rsid w:val="00AD5EDB"/>
    <w:rsid w:val="00AF705F"/>
    <w:rsid w:val="00B024F3"/>
    <w:rsid w:val="00B11DB7"/>
    <w:rsid w:val="00B122F5"/>
    <w:rsid w:val="00B1612A"/>
    <w:rsid w:val="00B90064"/>
    <w:rsid w:val="00BC4E83"/>
    <w:rsid w:val="00BF720A"/>
    <w:rsid w:val="00C018DC"/>
    <w:rsid w:val="00C11B42"/>
    <w:rsid w:val="00C304F1"/>
    <w:rsid w:val="00C54CC0"/>
    <w:rsid w:val="00C561EA"/>
    <w:rsid w:val="00C83C4E"/>
    <w:rsid w:val="00CA6319"/>
    <w:rsid w:val="00CE0E15"/>
    <w:rsid w:val="00CE3381"/>
    <w:rsid w:val="00D02E1F"/>
    <w:rsid w:val="00D048FF"/>
    <w:rsid w:val="00D176C2"/>
    <w:rsid w:val="00D2495F"/>
    <w:rsid w:val="00D30111"/>
    <w:rsid w:val="00D4649E"/>
    <w:rsid w:val="00D75940"/>
    <w:rsid w:val="00DB715A"/>
    <w:rsid w:val="00DD6944"/>
    <w:rsid w:val="00DE7168"/>
    <w:rsid w:val="00E45476"/>
    <w:rsid w:val="00E8145C"/>
    <w:rsid w:val="00EC4088"/>
    <w:rsid w:val="00ED630F"/>
    <w:rsid w:val="00ED6E18"/>
    <w:rsid w:val="00EF4F96"/>
    <w:rsid w:val="00F05397"/>
    <w:rsid w:val="00F454B9"/>
    <w:rsid w:val="00F5639F"/>
    <w:rsid w:val="00F651A7"/>
    <w:rsid w:val="00F65EED"/>
    <w:rsid w:val="00F67D9E"/>
    <w:rsid w:val="00F71613"/>
    <w:rsid w:val="00F807FB"/>
    <w:rsid w:val="00F83679"/>
    <w:rsid w:val="00F92E46"/>
    <w:rsid w:val="00FA545B"/>
    <w:rsid w:val="00FD0AE6"/>
    <w:rsid w:val="00FE7302"/>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microsoft-com:office:smarttags" w:name="PlaceType"/>
  <w:shapeDefaults>
    <o:shapedefaults v:ext="edit" spidmax="2050">
      <v:stroke weight="1.5pt"/>
    </o:shapedefaults>
    <o:shapelayout v:ext="edit">
      <o:idmap v:ext="edit" data="2"/>
    </o:shapelayout>
  </w:shapeDefaults>
  <w:decimalSymbol w:val="."/>
  <w:listSeparator w:val=","/>
  <w14:docId w14:val="648CD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603"/>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link w:val="NoteChar"/>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
    <w:qFormat/>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link w:val="ctablespaceChar"/>
    <w:qForma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paragraph" w:customStyle="1" w:styleId="bulletlevel1">
    <w:name w:val="bullet level 1"/>
    <w:basedOn w:val="Normal"/>
    <w:qFormat/>
    <w:rsid w:val="00F92E46"/>
    <w:pPr>
      <w:numPr>
        <w:numId w:val="25"/>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A86B31"/>
    <w:pPr>
      <w:numPr>
        <w:numId w:val="26"/>
      </w:numPr>
      <w:tabs>
        <w:tab w:val="num" w:pos="360"/>
        <w:tab w:val="left" w:pos="1620"/>
      </w:tabs>
      <w:ind w:left="1620" w:hanging="475"/>
    </w:pPr>
    <w:rPr>
      <w:rFonts w:cs="Arial"/>
    </w:rPr>
  </w:style>
  <w:style w:type="character" w:customStyle="1" w:styleId="ctextChar">
    <w:name w:val="ctext Char"/>
    <w:link w:val="ctext"/>
    <w:rsid w:val="00637E45"/>
    <w:rPr>
      <w:rFonts w:ascii="Arial" w:hAnsi="Arial"/>
      <w:sz w:val="21"/>
    </w:rPr>
  </w:style>
  <w:style w:type="character" w:customStyle="1" w:styleId="CLETTEREDChar">
    <w:name w:val="CLETTERED Char"/>
    <w:link w:val="CLETTERED"/>
    <w:rsid w:val="00637E45"/>
    <w:rPr>
      <w:rFonts w:ascii="Arial" w:eastAsia="MS Mincho" w:hAnsi="Arial"/>
      <w:sz w:val="21"/>
    </w:rPr>
  </w:style>
  <w:style w:type="character" w:customStyle="1" w:styleId="chead2Char">
    <w:name w:val="chead2 Char"/>
    <w:link w:val="chead2"/>
    <w:rsid w:val="00637E45"/>
    <w:rPr>
      <w:rFonts w:ascii="Arial" w:hAnsi="Arial"/>
      <w:b/>
      <w:color w:val="1D73D6"/>
    </w:rPr>
  </w:style>
  <w:style w:type="character" w:customStyle="1" w:styleId="cDate2Char">
    <w:name w:val="cDate2 Char"/>
    <w:link w:val="cDate2"/>
    <w:rsid w:val="00637E45"/>
    <w:rPr>
      <w:rFonts w:ascii="Arial" w:hAnsi="Arial"/>
      <w:b/>
      <w:color w:val="1D73D6"/>
      <w:sz w:val="18"/>
    </w:rPr>
  </w:style>
  <w:style w:type="paragraph" w:styleId="Revision">
    <w:name w:val="Revision"/>
    <w:hidden/>
    <w:uiPriority w:val="99"/>
    <w:semiHidden/>
    <w:rsid w:val="008B4877"/>
    <w:rPr>
      <w:rFonts w:ascii="Arial" w:hAnsi="Arial"/>
    </w:rPr>
  </w:style>
  <w:style w:type="character" w:customStyle="1" w:styleId="cnumberedChar">
    <w:name w:val="cnumbered Char"/>
    <w:link w:val="cnumbered"/>
    <w:rsid w:val="003D5ACA"/>
    <w:rPr>
      <w:rFonts w:ascii="Arial" w:eastAsia="MS Mincho" w:hAnsi="Arial"/>
      <w:sz w:val="21"/>
    </w:rPr>
  </w:style>
  <w:style w:type="character" w:customStyle="1" w:styleId="NoteChar">
    <w:name w:val="Note Char"/>
    <w:link w:val="Note"/>
    <w:rsid w:val="00891F6B"/>
    <w:rPr>
      <w:rFonts w:ascii="Arial" w:eastAsia="MS Mincho" w:hAnsi="Arial"/>
      <w:b/>
      <w:bCs/>
      <w:sz w:val="21"/>
    </w:rPr>
  </w:style>
  <w:style w:type="character" w:styleId="UnresolvedMention">
    <w:name w:val="Unresolved Mention"/>
    <w:basedOn w:val="DefaultParagraphFont"/>
    <w:uiPriority w:val="99"/>
    <w:semiHidden/>
    <w:unhideWhenUsed/>
    <w:rsid w:val="000E45BA"/>
    <w:rPr>
      <w:color w:val="605E5C"/>
      <w:shd w:val="clear" w:color="auto" w:fill="E1DFDD"/>
    </w:rPr>
  </w:style>
  <w:style w:type="character" w:styleId="CommentReference">
    <w:name w:val="annotation reference"/>
    <w:basedOn w:val="DefaultParagraphFont"/>
    <w:rsid w:val="00FF6ABE"/>
    <w:rPr>
      <w:sz w:val="16"/>
      <w:szCs w:val="16"/>
    </w:rPr>
  </w:style>
  <w:style w:type="character" w:customStyle="1" w:styleId="ctablespaceChar">
    <w:name w:val="ctablespace Char"/>
    <w:link w:val="ctablespace"/>
    <w:rsid w:val="005D59A2"/>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manservices.arkansas.gov/wp-content/uploads/AFMC.doc" TargetMode="External"/><Relationship Id="rId13" Type="http://schemas.openxmlformats.org/officeDocument/2006/relationships/hyperlink" Target="https://humanservices.arkansas.gov/wp-content/uploads/CNM_ProcCodes.xls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umanservices.arkansas.gov/wp-content/uploads/CNM_ProcCodes.xlsx" TargetMode="External"/><Relationship Id="rId12" Type="http://schemas.openxmlformats.org/officeDocument/2006/relationships/hyperlink" Target="https://humanservices.arkansas.gov/wp-content/uploads/Pharmacy.doc" TargetMode="External"/><Relationship Id="rId17" Type="http://schemas.openxmlformats.org/officeDocument/2006/relationships/hyperlink" Target="https://humanservices.arkansas.gov/wp-content/uploads/CNM_ProcCodes.xlsx" TargetMode="External"/><Relationship Id="rId2" Type="http://schemas.openxmlformats.org/officeDocument/2006/relationships/styles" Target="styles.xml"/><Relationship Id="rId16" Type="http://schemas.openxmlformats.org/officeDocument/2006/relationships/hyperlink" Target="https://humanservices.arkansas.gov/wp-content/uploads/CNM_ProcCodes.xls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manservices.arkansas.gov/wp-content/uploads/PAC.doc"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humanservices.arkansas.gov/wp-content/uploads/PAC.doc" TargetMode="External"/><Relationship Id="rId23" Type="http://schemas.openxmlformats.org/officeDocument/2006/relationships/customXml" Target="../customXml/item2.xml"/><Relationship Id="rId10" Type="http://schemas.openxmlformats.org/officeDocument/2006/relationships/hyperlink" Target="https://humanservices.arkansas.gov/wp-content/uploads/AFMC.do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umanservices.arkansas.gov/wp-content/uploads/AFMC.doc" TargetMode="External"/><Relationship Id="rId14" Type="http://schemas.openxmlformats.org/officeDocument/2006/relationships/hyperlink" Target="https://humanservices.arkansas.gov/wp-content/uploads/CNM_ProcCodes.xls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9a5397-efc8-4db4-9665-6751e9557ed9">
      <Terms xmlns="http://schemas.microsoft.com/office/infopath/2007/PartnerControls"/>
    </lcf76f155ced4ddcb4097134ff3c332f>
    <TaxCatchAll xmlns="8e69ce0d-1efe-43da-bb4e-b658dcfa5055" xsi:nil="true"/>
  </documentManagement>
</p:properties>
</file>

<file path=customXml/itemProps1.xml><?xml version="1.0" encoding="utf-8"?>
<ds:datastoreItem xmlns:ds="http://schemas.openxmlformats.org/officeDocument/2006/customXml" ds:itemID="{CF58A3A0-D3C9-475F-B7D4-59DDEB44597D}"/>
</file>

<file path=customXml/itemProps2.xml><?xml version="1.0" encoding="utf-8"?>
<ds:datastoreItem xmlns:ds="http://schemas.openxmlformats.org/officeDocument/2006/customXml" ds:itemID="{AF48B476-F0BB-4D95-A24B-C53D373E785E}"/>
</file>

<file path=customXml/itemProps3.xml><?xml version="1.0" encoding="utf-8"?>
<ds:datastoreItem xmlns:ds="http://schemas.openxmlformats.org/officeDocument/2006/customXml" ds:itemID="{F329EB82-FA33-4776-BB11-110DF3B8DB59}"/>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2363</Words>
  <Characters>20008</Characters>
  <Application>Microsoft Office Word</Application>
  <DocSecurity>0</DocSecurity>
  <Lines>166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CNM-2-25 Provider Manual Update</dc:title>
  <dc:subject/>
  <dc:creator/>
  <cp:keywords/>
  <dc:description/>
  <cp:lastModifiedBy/>
  <cp:revision>1</cp:revision>
  <dcterms:created xsi:type="dcterms:W3CDTF">2025-06-28T15:08:00Z</dcterms:created>
  <dcterms:modified xsi:type="dcterms:W3CDTF">2025-06-28T15:32:00Z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