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60" w:type="dxa"/>
        <w:tblLook w:val="04A0" w:firstRow="1" w:lastRow="0" w:firstColumn="1" w:lastColumn="0" w:noHBand="0" w:noVBand="1"/>
      </w:tblPr>
      <w:tblGrid>
        <w:gridCol w:w="985"/>
        <w:gridCol w:w="2160"/>
        <w:gridCol w:w="3240"/>
        <w:gridCol w:w="1170"/>
        <w:gridCol w:w="1890"/>
        <w:gridCol w:w="1630"/>
        <w:gridCol w:w="1985"/>
      </w:tblGrid>
      <w:tr w:rsidR="00C408BE" w:rsidRPr="00082FCF" w14:paraId="40B0DF97" w14:textId="77777777" w:rsidTr="003235C7">
        <w:trPr>
          <w:trHeight w:val="254"/>
          <w:tblHeader/>
        </w:trPr>
        <w:tc>
          <w:tcPr>
            <w:tcW w:w="985" w:type="dxa"/>
          </w:tcPr>
          <w:p w14:paraId="1C70D8FC" w14:textId="77777777" w:rsidR="00C408BE" w:rsidRPr="00082FCF" w:rsidRDefault="00C408BE" w:rsidP="003235C7">
            <w:pPr>
              <w:jc w:val="center"/>
              <w:rPr>
                <w:rFonts w:ascii="Arial" w:hAnsi="Arial" w:cs="Arial"/>
                <w:b/>
                <w:sz w:val="18"/>
                <w:szCs w:val="18"/>
              </w:rPr>
            </w:pPr>
            <w:r w:rsidRPr="00082FCF">
              <w:rPr>
                <w:rFonts w:ascii="Arial" w:hAnsi="Arial" w:cs="Arial"/>
                <w:b/>
                <w:sz w:val="18"/>
                <w:szCs w:val="18"/>
              </w:rPr>
              <w:t>Program</w:t>
            </w:r>
          </w:p>
        </w:tc>
        <w:tc>
          <w:tcPr>
            <w:tcW w:w="2160" w:type="dxa"/>
          </w:tcPr>
          <w:p w14:paraId="3040EFB3" w14:textId="77777777" w:rsidR="00C408BE" w:rsidRPr="00082FCF" w:rsidRDefault="00C408BE" w:rsidP="003235C7">
            <w:pPr>
              <w:jc w:val="center"/>
              <w:rPr>
                <w:rFonts w:ascii="Arial" w:hAnsi="Arial" w:cs="Arial"/>
                <w:b/>
                <w:sz w:val="18"/>
                <w:szCs w:val="18"/>
              </w:rPr>
            </w:pPr>
            <w:r w:rsidRPr="00082FCF">
              <w:rPr>
                <w:rFonts w:ascii="Arial" w:hAnsi="Arial" w:cs="Arial"/>
                <w:b/>
                <w:sz w:val="18"/>
                <w:szCs w:val="18"/>
              </w:rPr>
              <w:t>Report Name</w:t>
            </w:r>
          </w:p>
        </w:tc>
        <w:tc>
          <w:tcPr>
            <w:tcW w:w="3240" w:type="dxa"/>
          </w:tcPr>
          <w:p w14:paraId="5057216A" w14:textId="705BB931" w:rsidR="00C408BE" w:rsidRPr="00082FCF" w:rsidRDefault="00C408BE" w:rsidP="003235C7">
            <w:pPr>
              <w:jc w:val="center"/>
              <w:rPr>
                <w:rFonts w:ascii="Arial" w:hAnsi="Arial" w:cs="Arial"/>
                <w:b/>
                <w:bCs/>
                <w:sz w:val="18"/>
                <w:szCs w:val="18"/>
              </w:rPr>
            </w:pPr>
            <w:r w:rsidRPr="00082FCF">
              <w:rPr>
                <w:rFonts w:ascii="Arial" w:hAnsi="Arial" w:cs="Arial"/>
                <w:b/>
                <w:bCs/>
                <w:sz w:val="18"/>
                <w:szCs w:val="18"/>
              </w:rPr>
              <w:t>Brief Description</w:t>
            </w:r>
          </w:p>
        </w:tc>
        <w:tc>
          <w:tcPr>
            <w:tcW w:w="1170" w:type="dxa"/>
          </w:tcPr>
          <w:p w14:paraId="74FD6CD9" w14:textId="7287D6BF" w:rsidR="00C408BE" w:rsidRPr="00082FCF" w:rsidRDefault="00C408BE" w:rsidP="003235C7">
            <w:pPr>
              <w:jc w:val="center"/>
              <w:rPr>
                <w:rFonts w:ascii="Arial" w:hAnsi="Arial" w:cs="Arial"/>
                <w:b/>
                <w:sz w:val="18"/>
                <w:szCs w:val="18"/>
              </w:rPr>
            </w:pPr>
            <w:r w:rsidRPr="00082FCF">
              <w:rPr>
                <w:rFonts w:ascii="Arial" w:hAnsi="Arial" w:cs="Arial"/>
                <w:b/>
                <w:sz w:val="18"/>
                <w:szCs w:val="18"/>
              </w:rPr>
              <w:t>Report Format</w:t>
            </w:r>
          </w:p>
        </w:tc>
        <w:tc>
          <w:tcPr>
            <w:tcW w:w="1890" w:type="dxa"/>
          </w:tcPr>
          <w:p w14:paraId="7D3B5F99" w14:textId="01DF77A4" w:rsidR="00C408BE" w:rsidRPr="00082FCF" w:rsidRDefault="00C408BE" w:rsidP="003235C7">
            <w:pPr>
              <w:jc w:val="center"/>
              <w:rPr>
                <w:rFonts w:ascii="Arial" w:hAnsi="Arial" w:cs="Arial"/>
                <w:b/>
                <w:sz w:val="18"/>
                <w:szCs w:val="18"/>
              </w:rPr>
            </w:pPr>
            <w:r w:rsidRPr="00082FCF">
              <w:rPr>
                <w:rFonts w:ascii="Arial" w:hAnsi="Arial" w:cs="Arial"/>
                <w:b/>
                <w:sz w:val="18"/>
                <w:szCs w:val="18"/>
              </w:rPr>
              <w:t>Audience (Users)</w:t>
            </w:r>
          </w:p>
        </w:tc>
        <w:tc>
          <w:tcPr>
            <w:tcW w:w="1630" w:type="dxa"/>
          </w:tcPr>
          <w:p w14:paraId="69CF688A" w14:textId="77777777" w:rsidR="00C408BE" w:rsidRPr="00082FCF" w:rsidRDefault="00C408BE" w:rsidP="003235C7">
            <w:pPr>
              <w:jc w:val="center"/>
              <w:rPr>
                <w:rFonts w:ascii="Arial" w:hAnsi="Arial" w:cs="Arial"/>
                <w:b/>
                <w:sz w:val="18"/>
                <w:szCs w:val="18"/>
              </w:rPr>
            </w:pPr>
            <w:r w:rsidRPr="00082FCF">
              <w:rPr>
                <w:rFonts w:ascii="Arial" w:hAnsi="Arial" w:cs="Arial"/>
                <w:b/>
                <w:sz w:val="18"/>
                <w:szCs w:val="18"/>
              </w:rPr>
              <w:t>Update Frequency</w:t>
            </w:r>
          </w:p>
        </w:tc>
        <w:tc>
          <w:tcPr>
            <w:tcW w:w="1985" w:type="dxa"/>
          </w:tcPr>
          <w:p w14:paraId="54EA6EFE" w14:textId="77777777" w:rsidR="00C408BE" w:rsidRPr="00082FCF" w:rsidRDefault="00C408BE" w:rsidP="003235C7">
            <w:pPr>
              <w:jc w:val="center"/>
              <w:rPr>
                <w:rFonts w:ascii="Arial" w:hAnsi="Arial" w:cs="Arial"/>
                <w:b/>
                <w:sz w:val="18"/>
                <w:szCs w:val="18"/>
              </w:rPr>
            </w:pPr>
            <w:r w:rsidRPr="00082FCF">
              <w:rPr>
                <w:rFonts w:ascii="Arial" w:hAnsi="Arial" w:cs="Arial"/>
                <w:b/>
                <w:sz w:val="18"/>
                <w:szCs w:val="18"/>
              </w:rPr>
              <w:t>Delivery Mechanism</w:t>
            </w:r>
          </w:p>
        </w:tc>
      </w:tr>
      <w:tr w:rsidR="00C408BE" w:rsidRPr="00082FCF" w14:paraId="2B9D3431" w14:textId="77777777" w:rsidTr="003235C7">
        <w:trPr>
          <w:trHeight w:val="250"/>
        </w:trPr>
        <w:tc>
          <w:tcPr>
            <w:tcW w:w="985" w:type="dxa"/>
          </w:tcPr>
          <w:p w14:paraId="5C7E6B1C" w14:textId="77777777" w:rsidR="00C408BE" w:rsidRPr="00082FCF" w:rsidRDefault="00C408BE" w:rsidP="00000511">
            <w:pPr>
              <w:rPr>
                <w:rFonts w:ascii="Arial" w:hAnsi="Arial" w:cs="Arial"/>
                <w:sz w:val="18"/>
                <w:szCs w:val="18"/>
              </w:rPr>
            </w:pPr>
            <w:r w:rsidRPr="00082FCF">
              <w:rPr>
                <w:rFonts w:ascii="Arial" w:hAnsi="Arial" w:cs="Arial"/>
                <w:sz w:val="18"/>
                <w:szCs w:val="18"/>
              </w:rPr>
              <w:t>PCMH</w:t>
            </w:r>
          </w:p>
        </w:tc>
        <w:tc>
          <w:tcPr>
            <w:tcW w:w="2160" w:type="dxa"/>
          </w:tcPr>
          <w:p w14:paraId="78E00768" w14:textId="77777777" w:rsidR="00C408BE" w:rsidRPr="00082FCF" w:rsidRDefault="00C408BE" w:rsidP="00000511">
            <w:pPr>
              <w:rPr>
                <w:rFonts w:ascii="Arial" w:hAnsi="Arial" w:cs="Arial"/>
                <w:sz w:val="18"/>
                <w:szCs w:val="18"/>
              </w:rPr>
            </w:pPr>
            <w:r w:rsidRPr="00082FCF">
              <w:rPr>
                <w:rFonts w:ascii="Arial" w:hAnsi="Arial" w:cs="Arial"/>
                <w:sz w:val="18"/>
                <w:szCs w:val="18"/>
              </w:rPr>
              <w:t>Population Health Monthly Report (PHMR)</w:t>
            </w:r>
          </w:p>
        </w:tc>
        <w:tc>
          <w:tcPr>
            <w:tcW w:w="3240" w:type="dxa"/>
          </w:tcPr>
          <w:p w14:paraId="4251B94F" w14:textId="6B990270" w:rsidR="00C408BE" w:rsidRPr="00082FCF" w:rsidRDefault="00C408BE" w:rsidP="00000511">
            <w:pPr>
              <w:rPr>
                <w:rFonts w:ascii="Arial" w:hAnsi="Arial" w:cs="Arial"/>
                <w:sz w:val="18"/>
                <w:szCs w:val="18"/>
              </w:rPr>
            </w:pPr>
            <w:r w:rsidRPr="00082FCF">
              <w:rPr>
                <w:rFonts w:ascii="Arial" w:hAnsi="Arial" w:cs="Arial"/>
                <w:sz w:val="18"/>
                <w:szCs w:val="18"/>
              </w:rPr>
              <w:t>PCMH report generated each month that provides summary and beneficiary metric level data to assist the provider community in proactively managing their patient population.  This report summarizes provider performance across their attributed patient population, regardless of where patients receive care, and focuses on key metrics for preventative care, medication therapy management, chronic disease management, and utilization of high-cost services.</w:t>
            </w:r>
          </w:p>
        </w:tc>
        <w:tc>
          <w:tcPr>
            <w:tcW w:w="1170" w:type="dxa"/>
          </w:tcPr>
          <w:p w14:paraId="26020523" w14:textId="0225EDC9" w:rsidR="00C408BE" w:rsidRPr="00082FCF" w:rsidRDefault="00C408BE" w:rsidP="00000511">
            <w:pPr>
              <w:rPr>
                <w:rFonts w:ascii="Arial" w:hAnsi="Arial" w:cs="Arial"/>
                <w:sz w:val="18"/>
                <w:szCs w:val="18"/>
              </w:rPr>
            </w:pPr>
            <w:r w:rsidRPr="00082FCF">
              <w:rPr>
                <w:rFonts w:ascii="Arial" w:hAnsi="Arial" w:cs="Arial"/>
                <w:sz w:val="18"/>
                <w:szCs w:val="18"/>
              </w:rPr>
              <w:t>XSLX</w:t>
            </w:r>
          </w:p>
        </w:tc>
        <w:tc>
          <w:tcPr>
            <w:tcW w:w="1890" w:type="dxa"/>
          </w:tcPr>
          <w:p w14:paraId="4EF6A3E3" w14:textId="576A28D1"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DHS</w:t>
            </w:r>
          </w:p>
          <w:p w14:paraId="66FA1886" w14:textId="77777777"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7ED00ED7" w14:textId="6592942E"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 xml:space="preserve">DHS authorized vendors </w:t>
            </w:r>
          </w:p>
        </w:tc>
        <w:tc>
          <w:tcPr>
            <w:tcW w:w="1630" w:type="dxa"/>
          </w:tcPr>
          <w:p w14:paraId="0ED6423F" w14:textId="77777777" w:rsidR="00C408BE" w:rsidRPr="00082FCF" w:rsidRDefault="00C408BE" w:rsidP="00000511">
            <w:pPr>
              <w:rPr>
                <w:rFonts w:ascii="Arial" w:hAnsi="Arial" w:cs="Arial"/>
                <w:sz w:val="18"/>
                <w:szCs w:val="18"/>
              </w:rPr>
            </w:pPr>
            <w:r w:rsidRPr="00082FCF">
              <w:rPr>
                <w:rFonts w:ascii="Arial" w:hAnsi="Arial" w:cs="Arial"/>
                <w:sz w:val="18"/>
                <w:szCs w:val="18"/>
              </w:rPr>
              <w:t>Monthly (15</w:t>
            </w:r>
            <w:r w:rsidRPr="00082FCF">
              <w:rPr>
                <w:rFonts w:ascii="Arial" w:hAnsi="Arial" w:cs="Arial"/>
                <w:sz w:val="18"/>
                <w:szCs w:val="18"/>
                <w:vertAlign w:val="superscript"/>
              </w:rPr>
              <w:t>th</w:t>
            </w:r>
            <w:r w:rsidRPr="00082FCF">
              <w:rPr>
                <w:rFonts w:ascii="Arial" w:hAnsi="Arial" w:cs="Arial"/>
                <w:sz w:val="18"/>
                <w:szCs w:val="18"/>
              </w:rPr>
              <w:t xml:space="preserve"> of each month)</w:t>
            </w:r>
          </w:p>
        </w:tc>
        <w:tc>
          <w:tcPr>
            <w:tcW w:w="1985" w:type="dxa"/>
          </w:tcPr>
          <w:p w14:paraId="37278183" w14:textId="560664C0" w:rsidR="00C408BE" w:rsidRPr="00082FCF" w:rsidRDefault="00C408BE" w:rsidP="00000511">
            <w:pPr>
              <w:rPr>
                <w:rFonts w:ascii="Arial" w:hAnsi="Arial" w:cs="Arial"/>
                <w:sz w:val="18"/>
                <w:szCs w:val="18"/>
              </w:rPr>
            </w:pPr>
            <w:r w:rsidRPr="00082FCF">
              <w:rPr>
                <w:rFonts w:ascii="Arial" w:hAnsi="Arial" w:cs="Arial"/>
                <w:sz w:val="18"/>
                <w:szCs w:val="18"/>
              </w:rPr>
              <w:t>PCMH Portal Report Center</w:t>
            </w:r>
          </w:p>
          <w:p w14:paraId="1635DE48" w14:textId="0E753B55" w:rsidR="00C408BE" w:rsidRPr="00082FCF" w:rsidRDefault="00C408BE" w:rsidP="00000511">
            <w:pPr>
              <w:rPr>
                <w:rFonts w:ascii="Arial" w:hAnsi="Arial" w:cs="Arial"/>
                <w:sz w:val="18"/>
                <w:szCs w:val="18"/>
              </w:rPr>
            </w:pPr>
          </w:p>
        </w:tc>
      </w:tr>
      <w:tr w:rsidR="00C408BE" w:rsidRPr="00082FCF" w14:paraId="6AEAD183" w14:textId="77777777" w:rsidTr="003235C7">
        <w:trPr>
          <w:trHeight w:val="250"/>
        </w:trPr>
        <w:tc>
          <w:tcPr>
            <w:tcW w:w="985" w:type="dxa"/>
          </w:tcPr>
          <w:p w14:paraId="464E2B27" w14:textId="218C104B" w:rsidR="00C408BE" w:rsidRPr="00082FCF" w:rsidRDefault="00C408BE" w:rsidP="00000511">
            <w:pPr>
              <w:rPr>
                <w:rFonts w:ascii="Arial" w:hAnsi="Arial" w:cs="Arial"/>
                <w:sz w:val="18"/>
                <w:szCs w:val="18"/>
              </w:rPr>
            </w:pPr>
            <w:r w:rsidRPr="00082FCF">
              <w:rPr>
                <w:rFonts w:ascii="Arial" w:hAnsi="Arial" w:cs="Arial"/>
                <w:sz w:val="18"/>
                <w:szCs w:val="18"/>
              </w:rPr>
              <w:t>PCMH</w:t>
            </w:r>
          </w:p>
        </w:tc>
        <w:tc>
          <w:tcPr>
            <w:tcW w:w="2160" w:type="dxa"/>
          </w:tcPr>
          <w:p w14:paraId="3FDA51AF" w14:textId="00A284F9" w:rsidR="00C408BE" w:rsidRPr="00082FCF" w:rsidRDefault="00C408BE" w:rsidP="00000511">
            <w:pPr>
              <w:rPr>
                <w:rFonts w:ascii="Arial" w:hAnsi="Arial" w:cs="Arial"/>
                <w:sz w:val="18"/>
                <w:szCs w:val="18"/>
              </w:rPr>
            </w:pPr>
            <w:r w:rsidRPr="00082FCF">
              <w:rPr>
                <w:rFonts w:ascii="Arial" w:hAnsi="Arial" w:cs="Arial"/>
                <w:sz w:val="18"/>
                <w:szCs w:val="18"/>
              </w:rPr>
              <w:t>Population Health Monthly Report (PHMR)- Vaccine Report</w:t>
            </w:r>
          </w:p>
        </w:tc>
        <w:tc>
          <w:tcPr>
            <w:tcW w:w="3240" w:type="dxa"/>
          </w:tcPr>
          <w:p w14:paraId="0DECDA4E" w14:textId="7608EC41" w:rsidR="00C408BE" w:rsidRPr="00082FCF" w:rsidRDefault="00C408BE" w:rsidP="00000511">
            <w:pPr>
              <w:rPr>
                <w:rFonts w:ascii="Arial" w:hAnsi="Arial" w:cs="Arial"/>
                <w:sz w:val="18"/>
                <w:szCs w:val="18"/>
              </w:rPr>
            </w:pPr>
            <w:r w:rsidRPr="00082FCF">
              <w:rPr>
                <w:rFonts w:ascii="Arial" w:hAnsi="Arial" w:cs="Arial"/>
                <w:sz w:val="18"/>
                <w:szCs w:val="18"/>
              </w:rPr>
              <w:t>PCMH report generated each month that provides summary and beneficiary-level vaccination status data for 0-2- and 4–6-year-old. This report incorporates data from the State of Arkansas Vaccination Registry.</w:t>
            </w:r>
          </w:p>
        </w:tc>
        <w:tc>
          <w:tcPr>
            <w:tcW w:w="1170" w:type="dxa"/>
          </w:tcPr>
          <w:p w14:paraId="7B43C5DC" w14:textId="56BCE2C5" w:rsidR="00C408BE" w:rsidRPr="00082FCF" w:rsidRDefault="00C408BE" w:rsidP="00000511">
            <w:pPr>
              <w:rPr>
                <w:rFonts w:ascii="Arial" w:hAnsi="Arial" w:cs="Arial"/>
                <w:sz w:val="18"/>
                <w:szCs w:val="18"/>
              </w:rPr>
            </w:pPr>
            <w:r w:rsidRPr="00082FCF">
              <w:rPr>
                <w:rFonts w:ascii="Arial" w:hAnsi="Arial" w:cs="Arial"/>
                <w:sz w:val="18"/>
                <w:szCs w:val="18"/>
              </w:rPr>
              <w:t>XSLX</w:t>
            </w:r>
          </w:p>
        </w:tc>
        <w:tc>
          <w:tcPr>
            <w:tcW w:w="1890" w:type="dxa"/>
          </w:tcPr>
          <w:p w14:paraId="7547345C" w14:textId="2D4ABD14"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DHS</w:t>
            </w:r>
          </w:p>
          <w:p w14:paraId="47B09892" w14:textId="77777777"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01045A77" w14:textId="070CDC58"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 xml:space="preserve">DHS authorized vendors </w:t>
            </w:r>
          </w:p>
        </w:tc>
        <w:tc>
          <w:tcPr>
            <w:tcW w:w="1630" w:type="dxa"/>
          </w:tcPr>
          <w:p w14:paraId="1F0F3277" w14:textId="0179A80B" w:rsidR="00C408BE" w:rsidRPr="00082FCF" w:rsidRDefault="00C408BE" w:rsidP="00000511">
            <w:pPr>
              <w:rPr>
                <w:rFonts w:ascii="Arial" w:hAnsi="Arial" w:cs="Arial"/>
                <w:sz w:val="18"/>
                <w:szCs w:val="18"/>
              </w:rPr>
            </w:pPr>
            <w:r w:rsidRPr="00082FCF">
              <w:rPr>
                <w:rFonts w:ascii="Arial" w:hAnsi="Arial" w:cs="Arial"/>
                <w:sz w:val="18"/>
                <w:szCs w:val="18"/>
              </w:rPr>
              <w:t>Monthly (15</w:t>
            </w:r>
            <w:r w:rsidRPr="00082FCF">
              <w:rPr>
                <w:rFonts w:ascii="Arial" w:hAnsi="Arial" w:cs="Arial"/>
                <w:sz w:val="18"/>
                <w:szCs w:val="18"/>
                <w:vertAlign w:val="superscript"/>
              </w:rPr>
              <w:t>th</w:t>
            </w:r>
            <w:r w:rsidRPr="00082FCF">
              <w:rPr>
                <w:rFonts w:ascii="Arial" w:hAnsi="Arial" w:cs="Arial"/>
                <w:sz w:val="18"/>
                <w:szCs w:val="18"/>
              </w:rPr>
              <w:t xml:space="preserve"> of each month)</w:t>
            </w:r>
          </w:p>
        </w:tc>
        <w:tc>
          <w:tcPr>
            <w:tcW w:w="1985" w:type="dxa"/>
          </w:tcPr>
          <w:p w14:paraId="644B9748" w14:textId="37A87E69" w:rsidR="00C408BE" w:rsidRPr="00082FCF" w:rsidRDefault="00C408BE" w:rsidP="00000511">
            <w:pPr>
              <w:rPr>
                <w:rFonts w:ascii="Arial" w:hAnsi="Arial" w:cs="Arial"/>
                <w:sz w:val="18"/>
                <w:szCs w:val="18"/>
              </w:rPr>
            </w:pPr>
            <w:r w:rsidRPr="00082FCF">
              <w:rPr>
                <w:rFonts w:ascii="Arial" w:hAnsi="Arial" w:cs="Arial"/>
                <w:sz w:val="18"/>
                <w:szCs w:val="18"/>
              </w:rPr>
              <w:t>PCMH Portal Report Center</w:t>
            </w:r>
          </w:p>
          <w:p w14:paraId="250FD1A8" w14:textId="33307029" w:rsidR="00C408BE" w:rsidRPr="00082FCF" w:rsidRDefault="00C408BE" w:rsidP="00000511">
            <w:pPr>
              <w:rPr>
                <w:rFonts w:ascii="Arial" w:hAnsi="Arial" w:cs="Arial"/>
                <w:sz w:val="18"/>
                <w:szCs w:val="18"/>
              </w:rPr>
            </w:pPr>
          </w:p>
        </w:tc>
      </w:tr>
      <w:tr w:rsidR="00C408BE" w:rsidRPr="00082FCF" w14:paraId="762933F2" w14:textId="77777777" w:rsidTr="003235C7">
        <w:trPr>
          <w:trHeight w:val="250"/>
        </w:trPr>
        <w:tc>
          <w:tcPr>
            <w:tcW w:w="985" w:type="dxa"/>
          </w:tcPr>
          <w:p w14:paraId="48E812F1" w14:textId="77777777" w:rsidR="00C408BE" w:rsidRPr="00082FCF" w:rsidRDefault="00C408BE" w:rsidP="00000511">
            <w:pPr>
              <w:rPr>
                <w:rFonts w:ascii="Arial" w:hAnsi="Arial" w:cs="Arial"/>
                <w:sz w:val="18"/>
                <w:szCs w:val="18"/>
              </w:rPr>
            </w:pPr>
            <w:r w:rsidRPr="00082FCF">
              <w:rPr>
                <w:rFonts w:ascii="Arial" w:hAnsi="Arial" w:cs="Arial"/>
                <w:sz w:val="18"/>
                <w:szCs w:val="18"/>
              </w:rPr>
              <w:t>PCMH</w:t>
            </w:r>
          </w:p>
        </w:tc>
        <w:tc>
          <w:tcPr>
            <w:tcW w:w="2160" w:type="dxa"/>
          </w:tcPr>
          <w:p w14:paraId="0A2B8AE9" w14:textId="77777777" w:rsidR="00C408BE" w:rsidRPr="00082FCF" w:rsidRDefault="00C408BE" w:rsidP="00000511">
            <w:pPr>
              <w:rPr>
                <w:rFonts w:ascii="Arial" w:hAnsi="Arial" w:cs="Arial"/>
                <w:sz w:val="18"/>
                <w:szCs w:val="18"/>
              </w:rPr>
            </w:pPr>
            <w:r w:rsidRPr="00082FCF">
              <w:rPr>
                <w:rFonts w:ascii="Arial" w:hAnsi="Arial" w:cs="Arial"/>
                <w:sz w:val="18"/>
                <w:szCs w:val="18"/>
              </w:rPr>
              <w:t>PCMH Provider Report</w:t>
            </w:r>
          </w:p>
        </w:tc>
        <w:tc>
          <w:tcPr>
            <w:tcW w:w="3240" w:type="dxa"/>
          </w:tcPr>
          <w:p w14:paraId="1486320D" w14:textId="77777777" w:rsidR="00C408BE" w:rsidRPr="00082FCF" w:rsidRDefault="00C408BE" w:rsidP="00B67123">
            <w:pPr>
              <w:rPr>
                <w:rFonts w:ascii="Arial" w:hAnsi="Arial" w:cs="Arial"/>
                <w:sz w:val="18"/>
                <w:szCs w:val="18"/>
              </w:rPr>
            </w:pPr>
            <w:r w:rsidRPr="00082FCF">
              <w:rPr>
                <w:rFonts w:ascii="Arial" w:hAnsi="Arial" w:cs="Arial"/>
                <w:sz w:val="18"/>
                <w:szCs w:val="18"/>
              </w:rPr>
              <w:t>Quarterly progress report providing a PCMH-level update toward meeting program requirements, including:</w:t>
            </w:r>
          </w:p>
          <w:p w14:paraId="2F9EB491" w14:textId="77777777" w:rsidR="00C408BE" w:rsidRPr="00082FCF" w:rsidRDefault="00C408BE" w:rsidP="00B67123">
            <w:pPr>
              <w:pStyle w:val="ListParagraph"/>
              <w:numPr>
                <w:ilvl w:val="0"/>
                <w:numId w:val="7"/>
              </w:numPr>
              <w:rPr>
                <w:rFonts w:ascii="Arial" w:hAnsi="Arial" w:cs="Arial"/>
                <w:sz w:val="18"/>
                <w:szCs w:val="18"/>
              </w:rPr>
            </w:pPr>
            <w:r w:rsidRPr="00082FCF">
              <w:rPr>
                <w:rFonts w:ascii="Arial" w:hAnsi="Arial" w:cs="Arial"/>
                <w:sz w:val="18"/>
                <w:szCs w:val="18"/>
              </w:rPr>
              <w:t>PCMH attribution requirements</w:t>
            </w:r>
          </w:p>
          <w:p w14:paraId="70E5FC60" w14:textId="77777777" w:rsidR="00C408BE" w:rsidRPr="00082FCF" w:rsidRDefault="00C408BE" w:rsidP="00B67123">
            <w:pPr>
              <w:pStyle w:val="ListParagraph"/>
              <w:numPr>
                <w:ilvl w:val="0"/>
                <w:numId w:val="7"/>
              </w:numPr>
              <w:rPr>
                <w:rFonts w:ascii="Arial" w:hAnsi="Arial" w:cs="Arial"/>
                <w:sz w:val="18"/>
                <w:szCs w:val="18"/>
              </w:rPr>
            </w:pPr>
            <w:r w:rsidRPr="00082FCF">
              <w:rPr>
                <w:rFonts w:ascii="Arial" w:hAnsi="Arial" w:cs="Arial"/>
                <w:sz w:val="18"/>
                <w:szCs w:val="18"/>
              </w:rPr>
              <w:t>Practice support activity status</w:t>
            </w:r>
          </w:p>
          <w:p w14:paraId="2491775D" w14:textId="77777777" w:rsidR="00C408BE" w:rsidRPr="00082FCF" w:rsidRDefault="00C408BE" w:rsidP="00B67123">
            <w:pPr>
              <w:pStyle w:val="ListParagraph"/>
              <w:numPr>
                <w:ilvl w:val="0"/>
                <w:numId w:val="7"/>
              </w:numPr>
              <w:rPr>
                <w:rFonts w:ascii="Arial" w:hAnsi="Arial" w:cs="Arial"/>
                <w:sz w:val="18"/>
                <w:szCs w:val="18"/>
              </w:rPr>
            </w:pPr>
            <w:r w:rsidRPr="00082FCF">
              <w:rPr>
                <w:rFonts w:ascii="Arial" w:hAnsi="Arial" w:cs="Arial"/>
                <w:sz w:val="18"/>
                <w:szCs w:val="18"/>
              </w:rPr>
              <w:t>Metric rates for quality, core, PBIP, and informational metrics</w:t>
            </w:r>
          </w:p>
          <w:p w14:paraId="05580A95" w14:textId="1D0A05E9" w:rsidR="00C408BE" w:rsidRPr="00082FCF" w:rsidRDefault="00C408BE" w:rsidP="00B67123">
            <w:pPr>
              <w:pStyle w:val="ListParagraph"/>
              <w:numPr>
                <w:ilvl w:val="0"/>
                <w:numId w:val="7"/>
              </w:numPr>
              <w:rPr>
                <w:rFonts w:ascii="Arial" w:hAnsi="Arial" w:cs="Arial"/>
                <w:sz w:val="18"/>
                <w:szCs w:val="18"/>
              </w:rPr>
            </w:pPr>
            <w:r w:rsidRPr="00082FCF">
              <w:rPr>
                <w:rFonts w:ascii="Arial" w:hAnsi="Arial" w:cs="Arial"/>
                <w:sz w:val="18"/>
                <w:szCs w:val="18"/>
              </w:rPr>
              <w:t>Care category cost breakdown</w:t>
            </w:r>
          </w:p>
        </w:tc>
        <w:tc>
          <w:tcPr>
            <w:tcW w:w="1170" w:type="dxa"/>
          </w:tcPr>
          <w:p w14:paraId="23B8E4EF" w14:textId="6DF309C0" w:rsidR="00C408BE" w:rsidRPr="00082FCF" w:rsidRDefault="00C408BE" w:rsidP="00000511">
            <w:pPr>
              <w:rPr>
                <w:rFonts w:ascii="Arial" w:hAnsi="Arial" w:cs="Arial"/>
                <w:sz w:val="18"/>
                <w:szCs w:val="18"/>
              </w:rPr>
            </w:pPr>
            <w:r w:rsidRPr="00082FCF">
              <w:rPr>
                <w:rFonts w:ascii="Arial" w:hAnsi="Arial" w:cs="Arial"/>
                <w:sz w:val="18"/>
                <w:szCs w:val="18"/>
              </w:rPr>
              <w:t>PDF</w:t>
            </w:r>
          </w:p>
        </w:tc>
        <w:tc>
          <w:tcPr>
            <w:tcW w:w="1890" w:type="dxa"/>
          </w:tcPr>
          <w:p w14:paraId="7B78FE71" w14:textId="74749456"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DHS</w:t>
            </w:r>
          </w:p>
          <w:p w14:paraId="6BC62391" w14:textId="77777777"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215D9BA9" w14:textId="36D5BFD1" w:rsidR="00C408BE" w:rsidRPr="00082FCF" w:rsidRDefault="00C408BE" w:rsidP="00000511">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1F2967C8" w14:textId="77777777" w:rsidR="00C408BE" w:rsidRPr="00082FCF" w:rsidRDefault="00C408BE" w:rsidP="00000511">
            <w:pPr>
              <w:rPr>
                <w:rFonts w:ascii="Arial" w:hAnsi="Arial" w:cs="Arial"/>
                <w:sz w:val="18"/>
                <w:szCs w:val="18"/>
              </w:rPr>
            </w:pPr>
            <w:r w:rsidRPr="00082FCF">
              <w:rPr>
                <w:rFonts w:ascii="Arial" w:hAnsi="Arial" w:cs="Arial"/>
                <w:sz w:val="18"/>
                <w:szCs w:val="18"/>
              </w:rPr>
              <w:t>Quarterly</w:t>
            </w:r>
          </w:p>
        </w:tc>
        <w:tc>
          <w:tcPr>
            <w:tcW w:w="1985" w:type="dxa"/>
          </w:tcPr>
          <w:p w14:paraId="0C1E016C" w14:textId="435F3CB3" w:rsidR="00C408BE" w:rsidRPr="00082FCF" w:rsidRDefault="00C408BE" w:rsidP="00000511">
            <w:pPr>
              <w:rPr>
                <w:rFonts w:ascii="Arial" w:hAnsi="Arial" w:cs="Arial"/>
                <w:sz w:val="18"/>
                <w:szCs w:val="18"/>
              </w:rPr>
            </w:pPr>
            <w:r w:rsidRPr="00082FCF">
              <w:rPr>
                <w:rFonts w:ascii="Arial" w:hAnsi="Arial" w:cs="Arial"/>
                <w:sz w:val="18"/>
                <w:szCs w:val="18"/>
              </w:rPr>
              <w:t>PCMH Portal Report Center</w:t>
            </w:r>
          </w:p>
        </w:tc>
      </w:tr>
      <w:tr w:rsidR="00C408BE" w:rsidRPr="00082FCF" w14:paraId="0E0D14DC" w14:textId="77777777" w:rsidTr="003235C7">
        <w:trPr>
          <w:trHeight w:val="250"/>
        </w:trPr>
        <w:tc>
          <w:tcPr>
            <w:tcW w:w="985" w:type="dxa"/>
          </w:tcPr>
          <w:p w14:paraId="25BAAF18" w14:textId="77777777"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05DC0004" w14:textId="77777777" w:rsidR="00C408BE" w:rsidRPr="00082FCF" w:rsidRDefault="00C408BE" w:rsidP="00B67123">
            <w:pPr>
              <w:rPr>
                <w:rFonts w:ascii="Arial" w:hAnsi="Arial" w:cs="Arial"/>
                <w:sz w:val="18"/>
                <w:szCs w:val="18"/>
              </w:rPr>
            </w:pPr>
            <w:r w:rsidRPr="00082FCF">
              <w:rPr>
                <w:rFonts w:ascii="Arial" w:hAnsi="Arial" w:cs="Arial"/>
                <w:sz w:val="18"/>
                <w:szCs w:val="18"/>
              </w:rPr>
              <w:t>PCMH Shared Savings Report</w:t>
            </w:r>
          </w:p>
        </w:tc>
        <w:tc>
          <w:tcPr>
            <w:tcW w:w="3240" w:type="dxa"/>
          </w:tcPr>
          <w:p w14:paraId="58385467" w14:textId="77777777" w:rsidR="00C408BE" w:rsidRPr="00082FCF" w:rsidRDefault="00C408BE" w:rsidP="00B67123">
            <w:pPr>
              <w:rPr>
                <w:rFonts w:ascii="Arial" w:hAnsi="Arial" w:cs="Arial"/>
                <w:sz w:val="18"/>
                <w:szCs w:val="18"/>
              </w:rPr>
            </w:pPr>
            <w:r w:rsidRPr="00082FCF">
              <w:rPr>
                <w:rFonts w:ascii="Arial" w:hAnsi="Arial" w:cs="Arial"/>
                <w:sz w:val="18"/>
                <w:szCs w:val="18"/>
              </w:rPr>
              <w:t>Quarterly progress report providing a Shared Entity-level update toward meeting program requirements, including:</w:t>
            </w:r>
          </w:p>
          <w:p w14:paraId="040ADD85" w14:textId="77777777" w:rsidR="00C408BE" w:rsidRPr="00082FCF" w:rsidRDefault="00C408BE" w:rsidP="00B67123">
            <w:pPr>
              <w:pStyle w:val="ListParagraph"/>
              <w:numPr>
                <w:ilvl w:val="0"/>
                <w:numId w:val="6"/>
              </w:numPr>
              <w:rPr>
                <w:rFonts w:ascii="Arial" w:hAnsi="Arial" w:cs="Arial"/>
                <w:sz w:val="18"/>
                <w:szCs w:val="18"/>
              </w:rPr>
            </w:pPr>
            <w:r w:rsidRPr="00082FCF">
              <w:rPr>
                <w:rFonts w:ascii="Arial" w:hAnsi="Arial" w:cs="Arial"/>
                <w:sz w:val="18"/>
                <w:szCs w:val="18"/>
              </w:rPr>
              <w:t>Pool attribution requirements</w:t>
            </w:r>
          </w:p>
          <w:p w14:paraId="348A8E7D" w14:textId="77777777" w:rsidR="00C408BE" w:rsidRPr="00082FCF" w:rsidRDefault="00C408BE" w:rsidP="00B67123">
            <w:pPr>
              <w:pStyle w:val="ListParagraph"/>
              <w:numPr>
                <w:ilvl w:val="0"/>
                <w:numId w:val="6"/>
              </w:numPr>
              <w:rPr>
                <w:rFonts w:ascii="Arial" w:hAnsi="Arial" w:cs="Arial"/>
                <w:sz w:val="18"/>
                <w:szCs w:val="18"/>
              </w:rPr>
            </w:pPr>
            <w:r w:rsidRPr="00082FCF">
              <w:rPr>
                <w:rFonts w:ascii="Arial" w:hAnsi="Arial" w:cs="Arial"/>
                <w:sz w:val="18"/>
                <w:szCs w:val="18"/>
              </w:rPr>
              <w:t>Metric rates for quality, PBIP, and informational metrics</w:t>
            </w:r>
          </w:p>
          <w:p w14:paraId="4F75477C" w14:textId="68D7A966" w:rsidR="00C408BE" w:rsidRPr="00082FCF" w:rsidRDefault="00C408BE" w:rsidP="00B67123">
            <w:pPr>
              <w:pStyle w:val="ListParagraph"/>
              <w:numPr>
                <w:ilvl w:val="0"/>
                <w:numId w:val="6"/>
              </w:numPr>
              <w:rPr>
                <w:rFonts w:ascii="Arial" w:hAnsi="Arial" w:cs="Arial"/>
                <w:sz w:val="20"/>
                <w:szCs w:val="20"/>
              </w:rPr>
            </w:pPr>
            <w:r w:rsidRPr="00082FCF">
              <w:rPr>
                <w:rFonts w:ascii="Arial" w:hAnsi="Arial" w:cs="Arial"/>
                <w:sz w:val="18"/>
                <w:szCs w:val="18"/>
              </w:rPr>
              <w:t>Care category cost breakdown</w:t>
            </w:r>
          </w:p>
        </w:tc>
        <w:tc>
          <w:tcPr>
            <w:tcW w:w="1170" w:type="dxa"/>
          </w:tcPr>
          <w:p w14:paraId="209DFE66" w14:textId="232A5A60" w:rsidR="00C408BE" w:rsidRPr="00082FCF" w:rsidRDefault="00C408BE" w:rsidP="00B67123">
            <w:pPr>
              <w:rPr>
                <w:rFonts w:ascii="Arial" w:hAnsi="Arial" w:cs="Arial"/>
                <w:sz w:val="18"/>
                <w:szCs w:val="18"/>
              </w:rPr>
            </w:pPr>
            <w:r w:rsidRPr="00082FCF">
              <w:rPr>
                <w:rFonts w:ascii="Arial" w:hAnsi="Arial" w:cs="Arial"/>
                <w:sz w:val="18"/>
                <w:szCs w:val="18"/>
              </w:rPr>
              <w:t>PDF</w:t>
            </w:r>
          </w:p>
        </w:tc>
        <w:tc>
          <w:tcPr>
            <w:tcW w:w="1890" w:type="dxa"/>
          </w:tcPr>
          <w:p w14:paraId="06CA870F" w14:textId="634E7F51"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22AC0B90"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04392D0F" w14:textId="57C9EF1B"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4DC54D6A" w14:textId="77777777" w:rsidR="00C408BE" w:rsidRPr="00082FCF" w:rsidRDefault="00C408BE" w:rsidP="00B67123">
            <w:pPr>
              <w:rPr>
                <w:rFonts w:ascii="Arial" w:hAnsi="Arial" w:cs="Arial"/>
                <w:sz w:val="18"/>
                <w:szCs w:val="18"/>
              </w:rPr>
            </w:pPr>
            <w:r w:rsidRPr="00082FCF">
              <w:rPr>
                <w:rFonts w:ascii="Arial" w:hAnsi="Arial" w:cs="Arial"/>
                <w:sz w:val="18"/>
                <w:szCs w:val="18"/>
              </w:rPr>
              <w:t xml:space="preserve">Quarterly </w:t>
            </w:r>
          </w:p>
          <w:p w14:paraId="20825E23" w14:textId="1027466C" w:rsidR="00C408BE" w:rsidRPr="00082FCF" w:rsidRDefault="00C408BE" w:rsidP="00B67123">
            <w:pPr>
              <w:rPr>
                <w:rFonts w:ascii="Arial" w:hAnsi="Arial" w:cs="Arial"/>
                <w:sz w:val="18"/>
                <w:szCs w:val="18"/>
              </w:rPr>
            </w:pPr>
            <w:r w:rsidRPr="00082FCF">
              <w:rPr>
                <w:rFonts w:ascii="Arial" w:hAnsi="Arial" w:cs="Arial"/>
                <w:i/>
                <w:iCs/>
                <w:sz w:val="18"/>
                <w:szCs w:val="18"/>
              </w:rPr>
              <w:t>(Retired after the 2020 PCMH enrollment)</w:t>
            </w:r>
          </w:p>
        </w:tc>
        <w:tc>
          <w:tcPr>
            <w:tcW w:w="1985" w:type="dxa"/>
          </w:tcPr>
          <w:p w14:paraId="15D10081" w14:textId="1087C362" w:rsidR="00C408BE" w:rsidRPr="00082FCF" w:rsidRDefault="00C408BE" w:rsidP="00B67123">
            <w:pPr>
              <w:rPr>
                <w:rFonts w:ascii="Arial" w:hAnsi="Arial" w:cs="Arial"/>
                <w:sz w:val="18"/>
                <w:szCs w:val="18"/>
              </w:rPr>
            </w:pPr>
            <w:r w:rsidRPr="00082FCF">
              <w:rPr>
                <w:rFonts w:ascii="Arial" w:hAnsi="Arial" w:cs="Arial"/>
                <w:sz w:val="18"/>
                <w:szCs w:val="18"/>
              </w:rPr>
              <w:t>PCMH Portal Report Center</w:t>
            </w:r>
          </w:p>
        </w:tc>
      </w:tr>
      <w:tr w:rsidR="00C408BE" w:rsidRPr="00082FCF" w14:paraId="37BA0537" w14:textId="77777777" w:rsidTr="003235C7">
        <w:trPr>
          <w:trHeight w:val="250"/>
        </w:trPr>
        <w:tc>
          <w:tcPr>
            <w:tcW w:w="985" w:type="dxa"/>
          </w:tcPr>
          <w:p w14:paraId="26E5E4AF" w14:textId="77777777"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5C82E038" w14:textId="77777777" w:rsidR="00C408BE" w:rsidRPr="00082FCF" w:rsidRDefault="00C408BE" w:rsidP="00B67123">
            <w:pPr>
              <w:rPr>
                <w:rFonts w:ascii="Arial" w:hAnsi="Arial" w:cs="Arial"/>
                <w:sz w:val="18"/>
                <w:szCs w:val="18"/>
              </w:rPr>
            </w:pPr>
            <w:r w:rsidRPr="00082FCF">
              <w:rPr>
                <w:rFonts w:ascii="Arial" w:hAnsi="Arial" w:cs="Arial"/>
                <w:sz w:val="18"/>
                <w:szCs w:val="18"/>
              </w:rPr>
              <w:t>Narcotic Profile Report</w:t>
            </w:r>
          </w:p>
        </w:tc>
        <w:tc>
          <w:tcPr>
            <w:tcW w:w="3240" w:type="dxa"/>
          </w:tcPr>
          <w:p w14:paraId="0F962059" w14:textId="30E22479" w:rsidR="00C408BE" w:rsidRPr="00082FCF" w:rsidRDefault="00C408BE" w:rsidP="00B67123">
            <w:pPr>
              <w:rPr>
                <w:rFonts w:ascii="Arial" w:hAnsi="Arial" w:cs="Arial"/>
                <w:sz w:val="18"/>
                <w:szCs w:val="18"/>
              </w:rPr>
            </w:pPr>
            <w:r w:rsidRPr="00082FCF">
              <w:rPr>
                <w:rFonts w:ascii="Arial" w:hAnsi="Arial" w:cs="Arial"/>
                <w:sz w:val="18"/>
                <w:szCs w:val="18"/>
              </w:rPr>
              <w:t xml:space="preserve">Informational report for chronic narcotic use among attributed </w:t>
            </w:r>
            <w:r w:rsidRPr="00082FCF">
              <w:rPr>
                <w:rFonts w:ascii="Arial" w:hAnsi="Arial" w:cs="Arial"/>
                <w:sz w:val="18"/>
                <w:szCs w:val="18"/>
              </w:rPr>
              <w:lastRenderedPageBreak/>
              <w:t>beneficiaries based on prescriptions written by any provider within the PCMH or by any provider. Rates are provided for medication categories of opioids, benzodiazepines, non-benzodiazepine sleeping aids along with all medication categories including polypharmacy.</w:t>
            </w:r>
          </w:p>
        </w:tc>
        <w:tc>
          <w:tcPr>
            <w:tcW w:w="1170" w:type="dxa"/>
          </w:tcPr>
          <w:p w14:paraId="3536505E" w14:textId="026339CA" w:rsidR="00C408BE" w:rsidRPr="00082FCF" w:rsidRDefault="00C408BE" w:rsidP="00B67123">
            <w:pPr>
              <w:rPr>
                <w:rFonts w:ascii="Arial" w:hAnsi="Arial" w:cs="Arial"/>
                <w:sz w:val="18"/>
                <w:szCs w:val="18"/>
              </w:rPr>
            </w:pPr>
            <w:r w:rsidRPr="00082FCF">
              <w:rPr>
                <w:rFonts w:ascii="Arial" w:hAnsi="Arial" w:cs="Arial"/>
                <w:sz w:val="18"/>
                <w:szCs w:val="18"/>
              </w:rPr>
              <w:lastRenderedPageBreak/>
              <w:t>PDF</w:t>
            </w:r>
          </w:p>
        </w:tc>
        <w:tc>
          <w:tcPr>
            <w:tcW w:w="1890" w:type="dxa"/>
          </w:tcPr>
          <w:p w14:paraId="7D23CB98" w14:textId="462CAB24"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61467D34"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lastRenderedPageBreak/>
              <w:t>PCMH Enrolled Providers</w:t>
            </w:r>
          </w:p>
          <w:p w14:paraId="3230F31F" w14:textId="1E9BD1F4"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1AEBB2C6" w14:textId="77777777" w:rsidR="00C408BE" w:rsidRPr="00082FCF" w:rsidRDefault="00C408BE" w:rsidP="00B67123">
            <w:pPr>
              <w:rPr>
                <w:rFonts w:ascii="Arial" w:hAnsi="Arial" w:cs="Arial"/>
                <w:sz w:val="18"/>
                <w:szCs w:val="18"/>
              </w:rPr>
            </w:pPr>
            <w:r w:rsidRPr="00082FCF">
              <w:rPr>
                <w:rFonts w:ascii="Arial" w:hAnsi="Arial" w:cs="Arial"/>
                <w:sz w:val="18"/>
                <w:szCs w:val="18"/>
              </w:rPr>
              <w:lastRenderedPageBreak/>
              <w:t>Bi-annual</w:t>
            </w:r>
          </w:p>
          <w:p w14:paraId="5FFF690C" w14:textId="77777777" w:rsidR="00C408BE" w:rsidRPr="00082FCF" w:rsidRDefault="00C408BE" w:rsidP="00B67123">
            <w:pPr>
              <w:rPr>
                <w:rFonts w:ascii="Arial" w:hAnsi="Arial" w:cs="Arial"/>
                <w:sz w:val="18"/>
                <w:szCs w:val="18"/>
              </w:rPr>
            </w:pPr>
            <w:r w:rsidRPr="00082FCF">
              <w:rPr>
                <w:rFonts w:ascii="Arial" w:hAnsi="Arial" w:cs="Arial"/>
                <w:sz w:val="18"/>
                <w:szCs w:val="18"/>
              </w:rPr>
              <w:t>(2</w:t>
            </w:r>
            <w:r w:rsidRPr="00082FCF">
              <w:rPr>
                <w:rFonts w:ascii="Arial" w:hAnsi="Arial" w:cs="Arial"/>
                <w:sz w:val="18"/>
                <w:szCs w:val="18"/>
                <w:vertAlign w:val="superscript"/>
              </w:rPr>
              <w:t>nd</w:t>
            </w:r>
            <w:r w:rsidRPr="00082FCF">
              <w:rPr>
                <w:rFonts w:ascii="Arial" w:hAnsi="Arial" w:cs="Arial"/>
                <w:sz w:val="18"/>
                <w:szCs w:val="18"/>
              </w:rPr>
              <w:t xml:space="preserve"> &amp; 4</w:t>
            </w:r>
            <w:r w:rsidRPr="00082FCF">
              <w:rPr>
                <w:rFonts w:ascii="Arial" w:hAnsi="Arial" w:cs="Arial"/>
                <w:sz w:val="18"/>
                <w:szCs w:val="18"/>
                <w:vertAlign w:val="superscript"/>
              </w:rPr>
              <w:t>th</w:t>
            </w:r>
            <w:r w:rsidRPr="00082FCF">
              <w:rPr>
                <w:rFonts w:ascii="Arial" w:hAnsi="Arial" w:cs="Arial"/>
                <w:sz w:val="18"/>
                <w:szCs w:val="18"/>
              </w:rPr>
              <w:t xml:space="preserve"> quarter)</w:t>
            </w:r>
          </w:p>
          <w:p w14:paraId="64ABA317" w14:textId="77777777" w:rsidR="00C408BE" w:rsidRPr="00082FCF" w:rsidRDefault="00C408BE" w:rsidP="00B67123">
            <w:pPr>
              <w:rPr>
                <w:rFonts w:ascii="Arial" w:hAnsi="Arial" w:cs="Arial"/>
                <w:sz w:val="18"/>
                <w:szCs w:val="18"/>
              </w:rPr>
            </w:pPr>
          </w:p>
          <w:p w14:paraId="5F36067B" w14:textId="65F58D06" w:rsidR="00C408BE" w:rsidRPr="00082FCF" w:rsidRDefault="00C408BE" w:rsidP="00B67123">
            <w:pPr>
              <w:rPr>
                <w:rFonts w:ascii="Arial" w:hAnsi="Arial" w:cs="Arial"/>
                <w:sz w:val="18"/>
                <w:szCs w:val="18"/>
              </w:rPr>
            </w:pPr>
            <w:r w:rsidRPr="00082FCF">
              <w:rPr>
                <w:rFonts w:ascii="Arial" w:hAnsi="Arial" w:cs="Arial"/>
                <w:i/>
                <w:iCs/>
                <w:sz w:val="18"/>
                <w:szCs w:val="18"/>
              </w:rPr>
              <w:t>(Retired after Q4 2021)</w:t>
            </w:r>
          </w:p>
        </w:tc>
        <w:tc>
          <w:tcPr>
            <w:tcW w:w="1985" w:type="dxa"/>
          </w:tcPr>
          <w:p w14:paraId="09AC72BA" w14:textId="521F297F" w:rsidR="00C408BE" w:rsidRPr="00082FCF" w:rsidRDefault="00C408BE" w:rsidP="00B67123">
            <w:pPr>
              <w:rPr>
                <w:rFonts w:ascii="Arial" w:hAnsi="Arial" w:cs="Arial"/>
                <w:sz w:val="18"/>
                <w:szCs w:val="18"/>
              </w:rPr>
            </w:pPr>
            <w:r w:rsidRPr="00082FCF">
              <w:rPr>
                <w:rFonts w:ascii="Arial" w:hAnsi="Arial" w:cs="Arial"/>
                <w:sz w:val="18"/>
                <w:szCs w:val="18"/>
              </w:rPr>
              <w:lastRenderedPageBreak/>
              <w:t>PCMH Portal Report Center</w:t>
            </w:r>
          </w:p>
        </w:tc>
      </w:tr>
      <w:tr w:rsidR="00C408BE" w:rsidRPr="00082FCF" w14:paraId="1BF7B24E" w14:textId="77777777" w:rsidTr="003235C7">
        <w:trPr>
          <w:trHeight w:val="250"/>
        </w:trPr>
        <w:tc>
          <w:tcPr>
            <w:tcW w:w="985" w:type="dxa"/>
          </w:tcPr>
          <w:p w14:paraId="7666D8EF" w14:textId="77777777"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629D2D60" w14:textId="77777777" w:rsidR="00C408BE" w:rsidRPr="00082FCF" w:rsidRDefault="00C408BE" w:rsidP="00B67123">
            <w:pPr>
              <w:rPr>
                <w:rFonts w:ascii="Arial" w:hAnsi="Arial" w:cs="Arial"/>
                <w:sz w:val="18"/>
                <w:szCs w:val="18"/>
              </w:rPr>
            </w:pPr>
            <w:r w:rsidRPr="00082FCF">
              <w:rPr>
                <w:rFonts w:ascii="Arial" w:hAnsi="Arial" w:cs="Arial"/>
                <w:sz w:val="18"/>
                <w:szCs w:val="18"/>
              </w:rPr>
              <w:t>Oral Antibiotic Utilization Report</w:t>
            </w:r>
          </w:p>
        </w:tc>
        <w:tc>
          <w:tcPr>
            <w:tcW w:w="3240" w:type="dxa"/>
          </w:tcPr>
          <w:p w14:paraId="46F153C8" w14:textId="6653AC6F" w:rsidR="00C408BE" w:rsidRPr="00082FCF" w:rsidRDefault="00C408BE" w:rsidP="00B67123">
            <w:pPr>
              <w:rPr>
                <w:rFonts w:ascii="Arial" w:hAnsi="Arial" w:cs="Arial"/>
                <w:sz w:val="18"/>
                <w:szCs w:val="18"/>
              </w:rPr>
            </w:pPr>
            <w:r w:rsidRPr="00082FCF">
              <w:rPr>
                <w:rFonts w:ascii="Arial" w:hAnsi="Arial" w:cs="Arial"/>
                <w:sz w:val="18"/>
                <w:szCs w:val="18"/>
              </w:rPr>
              <w:t>Informational report detailing oral antibiotic prescription utilization per 1,000 attributed beneficiaries, stratified by age group, gender, Arkansas region and county, and oral antibiotic drug class.</w:t>
            </w:r>
          </w:p>
        </w:tc>
        <w:tc>
          <w:tcPr>
            <w:tcW w:w="1170" w:type="dxa"/>
          </w:tcPr>
          <w:p w14:paraId="511ECA3C" w14:textId="0403B22D" w:rsidR="00C408BE" w:rsidRPr="00082FCF" w:rsidRDefault="00C408BE" w:rsidP="00B67123">
            <w:pPr>
              <w:rPr>
                <w:rFonts w:ascii="Arial" w:hAnsi="Arial" w:cs="Arial"/>
                <w:sz w:val="18"/>
                <w:szCs w:val="18"/>
              </w:rPr>
            </w:pPr>
            <w:r w:rsidRPr="00082FCF">
              <w:rPr>
                <w:rFonts w:ascii="Arial" w:hAnsi="Arial" w:cs="Arial"/>
                <w:sz w:val="18"/>
                <w:szCs w:val="18"/>
              </w:rPr>
              <w:t>PDF</w:t>
            </w:r>
          </w:p>
        </w:tc>
        <w:tc>
          <w:tcPr>
            <w:tcW w:w="1890" w:type="dxa"/>
          </w:tcPr>
          <w:p w14:paraId="0DFD2C76" w14:textId="7CBF0292"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449F59B3"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3040EFA9"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AFMC</w:t>
            </w:r>
          </w:p>
          <w:p w14:paraId="4636F2BF" w14:textId="5DC48761"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450B66BF" w14:textId="77777777" w:rsidR="00C408BE" w:rsidRPr="00082FCF" w:rsidRDefault="00C408BE" w:rsidP="00B67123">
            <w:pPr>
              <w:rPr>
                <w:rFonts w:ascii="Arial" w:hAnsi="Arial" w:cs="Arial"/>
                <w:sz w:val="18"/>
                <w:szCs w:val="18"/>
              </w:rPr>
            </w:pPr>
            <w:r w:rsidRPr="00082FCF">
              <w:rPr>
                <w:rFonts w:ascii="Arial" w:hAnsi="Arial" w:cs="Arial"/>
                <w:sz w:val="18"/>
                <w:szCs w:val="18"/>
              </w:rPr>
              <w:t>Bi-annual</w:t>
            </w:r>
          </w:p>
          <w:p w14:paraId="347D65DA" w14:textId="77777777" w:rsidR="00C408BE" w:rsidRPr="00082FCF" w:rsidRDefault="00C408BE" w:rsidP="00B67123">
            <w:pPr>
              <w:rPr>
                <w:rFonts w:ascii="Arial" w:hAnsi="Arial" w:cs="Arial"/>
                <w:sz w:val="18"/>
                <w:szCs w:val="18"/>
              </w:rPr>
            </w:pPr>
            <w:r w:rsidRPr="00082FCF">
              <w:rPr>
                <w:rFonts w:ascii="Arial" w:hAnsi="Arial" w:cs="Arial"/>
                <w:sz w:val="18"/>
                <w:szCs w:val="18"/>
              </w:rPr>
              <w:t>(2</w:t>
            </w:r>
            <w:r w:rsidRPr="00082FCF">
              <w:rPr>
                <w:rFonts w:ascii="Arial" w:hAnsi="Arial" w:cs="Arial"/>
                <w:sz w:val="18"/>
                <w:szCs w:val="18"/>
                <w:vertAlign w:val="superscript"/>
              </w:rPr>
              <w:t>nd</w:t>
            </w:r>
            <w:r w:rsidRPr="00082FCF">
              <w:rPr>
                <w:rFonts w:ascii="Arial" w:hAnsi="Arial" w:cs="Arial"/>
                <w:sz w:val="18"/>
                <w:szCs w:val="18"/>
              </w:rPr>
              <w:t xml:space="preserve"> &amp; 4</w:t>
            </w:r>
            <w:r w:rsidRPr="00082FCF">
              <w:rPr>
                <w:rFonts w:ascii="Arial" w:hAnsi="Arial" w:cs="Arial"/>
                <w:sz w:val="18"/>
                <w:szCs w:val="18"/>
                <w:vertAlign w:val="superscript"/>
              </w:rPr>
              <w:t>th</w:t>
            </w:r>
            <w:r w:rsidRPr="00082FCF">
              <w:rPr>
                <w:rFonts w:ascii="Arial" w:hAnsi="Arial" w:cs="Arial"/>
                <w:sz w:val="18"/>
                <w:szCs w:val="18"/>
              </w:rPr>
              <w:t xml:space="preserve"> quarter)</w:t>
            </w:r>
          </w:p>
          <w:p w14:paraId="617193AA" w14:textId="1FD11E20" w:rsidR="00C408BE" w:rsidRPr="00082FCF" w:rsidRDefault="00C408BE" w:rsidP="00B67123">
            <w:pPr>
              <w:rPr>
                <w:rFonts w:ascii="Arial" w:hAnsi="Arial" w:cs="Arial"/>
                <w:sz w:val="18"/>
                <w:szCs w:val="18"/>
              </w:rPr>
            </w:pPr>
          </w:p>
        </w:tc>
        <w:tc>
          <w:tcPr>
            <w:tcW w:w="1985" w:type="dxa"/>
          </w:tcPr>
          <w:p w14:paraId="69006CE4" w14:textId="5EF0ACB9" w:rsidR="00C408BE" w:rsidRPr="00082FCF" w:rsidRDefault="00C408BE" w:rsidP="00B67123">
            <w:pPr>
              <w:rPr>
                <w:rFonts w:ascii="Arial" w:hAnsi="Arial" w:cs="Arial"/>
                <w:sz w:val="18"/>
                <w:szCs w:val="18"/>
              </w:rPr>
            </w:pPr>
            <w:r w:rsidRPr="00082FCF">
              <w:rPr>
                <w:rFonts w:ascii="Arial" w:hAnsi="Arial" w:cs="Arial"/>
                <w:sz w:val="18"/>
                <w:szCs w:val="18"/>
              </w:rPr>
              <w:t>PCMH Portal Report Center</w:t>
            </w:r>
          </w:p>
          <w:p w14:paraId="3F543164" w14:textId="3ECA1124" w:rsidR="00C408BE" w:rsidRPr="00082FCF" w:rsidRDefault="00C408BE" w:rsidP="00B67123">
            <w:pPr>
              <w:rPr>
                <w:rFonts w:ascii="Arial" w:hAnsi="Arial" w:cs="Arial"/>
                <w:sz w:val="18"/>
                <w:szCs w:val="18"/>
              </w:rPr>
            </w:pPr>
          </w:p>
        </w:tc>
      </w:tr>
      <w:tr w:rsidR="00C408BE" w:rsidRPr="00082FCF" w14:paraId="1C1549A6" w14:textId="77777777" w:rsidTr="003235C7">
        <w:trPr>
          <w:trHeight w:val="250"/>
        </w:trPr>
        <w:tc>
          <w:tcPr>
            <w:tcW w:w="985" w:type="dxa"/>
          </w:tcPr>
          <w:p w14:paraId="3156A5AD" w14:textId="279C1B7E"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641EA0C2" w14:textId="4F0DE9CB" w:rsidR="00C408BE" w:rsidRPr="00082FCF" w:rsidRDefault="00C408BE" w:rsidP="00B67123">
            <w:pPr>
              <w:rPr>
                <w:rFonts w:ascii="Arial" w:hAnsi="Arial" w:cs="Arial"/>
                <w:sz w:val="18"/>
                <w:szCs w:val="18"/>
              </w:rPr>
            </w:pPr>
            <w:r w:rsidRPr="00082FCF">
              <w:rPr>
                <w:rFonts w:ascii="Arial" w:hAnsi="Arial" w:cs="Arial"/>
                <w:sz w:val="18"/>
                <w:szCs w:val="18"/>
              </w:rPr>
              <w:t>Patient Panel Export</w:t>
            </w:r>
          </w:p>
        </w:tc>
        <w:tc>
          <w:tcPr>
            <w:tcW w:w="3240" w:type="dxa"/>
          </w:tcPr>
          <w:p w14:paraId="1DCF6381" w14:textId="236B6AE8" w:rsidR="00C408BE" w:rsidRPr="00082FCF" w:rsidRDefault="00520049" w:rsidP="00B67123">
            <w:pPr>
              <w:rPr>
                <w:rFonts w:ascii="Arial" w:hAnsi="Arial" w:cs="Arial"/>
                <w:sz w:val="18"/>
                <w:szCs w:val="18"/>
              </w:rPr>
            </w:pPr>
            <w:r w:rsidRPr="00082FCF">
              <w:rPr>
                <w:rFonts w:ascii="Arial" w:hAnsi="Arial" w:cs="Arial"/>
                <w:sz w:val="18"/>
                <w:szCs w:val="18"/>
              </w:rPr>
              <w:t>Displays the current practice patient panel per Quarter with current risk scores if they have achieved 6 month</w:t>
            </w:r>
            <w:r w:rsidR="00082FCF" w:rsidRPr="00082FCF">
              <w:rPr>
                <w:rFonts w:ascii="Arial" w:hAnsi="Arial" w:cs="Arial"/>
                <w:sz w:val="18"/>
                <w:szCs w:val="18"/>
              </w:rPr>
              <w:t>s</w:t>
            </w:r>
            <w:r w:rsidRPr="00082FCF">
              <w:rPr>
                <w:rFonts w:ascii="Arial" w:hAnsi="Arial" w:cs="Arial"/>
                <w:sz w:val="18"/>
                <w:szCs w:val="18"/>
              </w:rPr>
              <w:t xml:space="preserve"> attributed and if counted in the HPB list or MDX</w:t>
            </w:r>
          </w:p>
        </w:tc>
        <w:tc>
          <w:tcPr>
            <w:tcW w:w="1170" w:type="dxa"/>
          </w:tcPr>
          <w:p w14:paraId="060A1430" w14:textId="0302C2F3" w:rsidR="00C408BE" w:rsidRPr="00082FCF" w:rsidRDefault="00C408BE" w:rsidP="00B67123">
            <w:pPr>
              <w:rPr>
                <w:rFonts w:ascii="Arial" w:hAnsi="Arial" w:cs="Arial"/>
                <w:sz w:val="18"/>
                <w:szCs w:val="18"/>
              </w:rPr>
            </w:pPr>
            <w:r w:rsidRPr="00082FCF">
              <w:rPr>
                <w:rFonts w:ascii="Arial" w:hAnsi="Arial" w:cs="Arial"/>
                <w:sz w:val="18"/>
                <w:szCs w:val="18"/>
              </w:rPr>
              <w:t>XSLX</w:t>
            </w:r>
          </w:p>
        </w:tc>
        <w:tc>
          <w:tcPr>
            <w:tcW w:w="1890" w:type="dxa"/>
          </w:tcPr>
          <w:p w14:paraId="4DB3407A" w14:textId="17AEB5E1"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70BD6E72"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4BB52385" w14:textId="16CB2A4E"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7F2073FD" w14:textId="087BE511" w:rsidR="00C408BE" w:rsidRPr="00082FCF" w:rsidRDefault="00C408BE" w:rsidP="00B67123">
            <w:pPr>
              <w:rPr>
                <w:rFonts w:ascii="Arial" w:hAnsi="Arial" w:cs="Arial"/>
                <w:sz w:val="18"/>
                <w:szCs w:val="18"/>
              </w:rPr>
            </w:pPr>
            <w:r w:rsidRPr="00082FCF">
              <w:rPr>
                <w:rFonts w:ascii="Arial" w:eastAsia="Times New Roman" w:hAnsi="Arial" w:cs="Arial"/>
                <w:sz w:val="18"/>
                <w:szCs w:val="18"/>
              </w:rPr>
              <w:t>The patient panel is updated quarterly, but the Patient Panel Selection monitoring data is updated real time as providers complete their selections.</w:t>
            </w:r>
          </w:p>
        </w:tc>
        <w:tc>
          <w:tcPr>
            <w:tcW w:w="1985" w:type="dxa"/>
          </w:tcPr>
          <w:p w14:paraId="1B0EA67A" w14:textId="79555221" w:rsidR="00C408BE" w:rsidRPr="00082FCF" w:rsidRDefault="00C408BE" w:rsidP="00B67123">
            <w:pPr>
              <w:rPr>
                <w:rFonts w:ascii="Arial" w:hAnsi="Arial" w:cs="Arial"/>
                <w:sz w:val="18"/>
                <w:szCs w:val="18"/>
              </w:rPr>
            </w:pPr>
            <w:r w:rsidRPr="00082FCF">
              <w:rPr>
                <w:rFonts w:ascii="Arial" w:hAnsi="Arial" w:cs="Arial"/>
                <w:sz w:val="18"/>
                <w:szCs w:val="18"/>
              </w:rPr>
              <w:t>Dashboard Excel Export**</w:t>
            </w:r>
          </w:p>
        </w:tc>
      </w:tr>
      <w:tr w:rsidR="00C408BE" w:rsidRPr="00082FCF" w14:paraId="31F795FF" w14:textId="77777777" w:rsidTr="003235C7">
        <w:trPr>
          <w:trHeight w:val="250"/>
        </w:trPr>
        <w:tc>
          <w:tcPr>
            <w:tcW w:w="985" w:type="dxa"/>
          </w:tcPr>
          <w:p w14:paraId="3BF6ACAA" w14:textId="2AD76CB8"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014AC509" w14:textId="07098332" w:rsidR="00C408BE" w:rsidRPr="00082FCF" w:rsidRDefault="00C408BE" w:rsidP="00B67123">
            <w:pPr>
              <w:rPr>
                <w:rFonts w:ascii="Arial" w:hAnsi="Arial" w:cs="Arial"/>
                <w:sz w:val="18"/>
                <w:szCs w:val="18"/>
              </w:rPr>
            </w:pPr>
            <w:r w:rsidRPr="00082FCF">
              <w:rPr>
                <w:rFonts w:ascii="Arial" w:hAnsi="Arial" w:cs="Arial"/>
                <w:sz w:val="18"/>
                <w:szCs w:val="18"/>
              </w:rPr>
              <w:t>Practice Support Activities Attestation Export</w:t>
            </w:r>
          </w:p>
        </w:tc>
        <w:tc>
          <w:tcPr>
            <w:tcW w:w="3240" w:type="dxa"/>
          </w:tcPr>
          <w:p w14:paraId="18DB32A4" w14:textId="290C0643" w:rsidR="00C408BE" w:rsidRPr="00082FCF" w:rsidRDefault="00520049" w:rsidP="00B67123">
            <w:pPr>
              <w:rPr>
                <w:rFonts w:ascii="Arial" w:hAnsi="Arial" w:cs="Arial"/>
                <w:sz w:val="18"/>
                <w:szCs w:val="18"/>
              </w:rPr>
            </w:pPr>
            <w:r w:rsidRPr="00082FCF">
              <w:rPr>
                <w:rFonts w:ascii="Arial" w:hAnsi="Arial" w:cs="Arial"/>
                <w:sz w:val="18"/>
                <w:szCs w:val="18"/>
              </w:rPr>
              <w:t xml:space="preserve">Actual list of Practice Support Activities when they are due as well as a process for the providers to attest to these and download supporting documentation. </w:t>
            </w:r>
          </w:p>
        </w:tc>
        <w:tc>
          <w:tcPr>
            <w:tcW w:w="1170" w:type="dxa"/>
          </w:tcPr>
          <w:p w14:paraId="2C75A47E" w14:textId="6AADD90B" w:rsidR="00C408BE" w:rsidRPr="00082FCF" w:rsidRDefault="00C408BE" w:rsidP="00B67123">
            <w:pPr>
              <w:rPr>
                <w:rFonts w:ascii="Arial" w:hAnsi="Arial" w:cs="Arial"/>
                <w:sz w:val="18"/>
                <w:szCs w:val="18"/>
              </w:rPr>
            </w:pPr>
            <w:r w:rsidRPr="00082FCF">
              <w:rPr>
                <w:rFonts w:ascii="Arial" w:hAnsi="Arial" w:cs="Arial"/>
                <w:sz w:val="18"/>
                <w:szCs w:val="18"/>
              </w:rPr>
              <w:t>XSLX</w:t>
            </w:r>
          </w:p>
        </w:tc>
        <w:tc>
          <w:tcPr>
            <w:tcW w:w="1890" w:type="dxa"/>
          </w:tcPr>
          <w:p w14:paraId="28121A40" w14:textId="7D816D12"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4A834D68"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38342E6C" w14:textId="4EDD849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44E5B080" w14:textId="5946C1A8" w:rsidR="00C408BE" w:rsidRPr="00082FCF" w:rsidRDefault="00C408BE" w:rsidP="00B67123">
            <w:pPr>
              <w:rPr>
                <w:rFonts w:ascii="Arial" w:hAnsi="Arial" w:cs="Arial"/>
                <w:sz w:val="18"/>
                <w:szCs w:val="18"/>
              </w:rPr>
            </w:pPr>
            <w:r w:rsidRPr="00082FCF">
              <w:rPr>
                <w:rFonts w:ascii="Arial" w:eastAsia="Times New Roman" w:hAnsi="Arial" w:cs="Arial"/>
                <w:sz w:val="18"/>
                <w:szCs w:val="18"/>
              </w:rPr>
              <w:t>Updated real time as providers complete attestation.</w:t>
            </w:r>
          </w:p>
        </w:tc>
        <w:tc>
          <w:tcPr>
            <w:tcW w:w="1985" w:type="dxa"/>
          </w:tcPr>
          <w:p w14:paraId="3AB0F6C4" w14:textId="60824504" w:rsidR="00C408BE" w:rsidRPr="00082FCF" w:rsidRDefault="00C408BE" w:rsidP="00B67123">
            <w:pPr>
              <w:rPr>
                <w:rFonts w:ascii="Arial" w:hAnsi="Arial" w:cs="Arial"/>
                <w:sz w:val="18"/>
                <w:szCs w:val="18"/>
              </w:rPr>
            </w:pPr>
            <w:r w:rsidRPr="00082FCF">
              <w:rPr>
                <w:rFonts w:ascii="Arial" w:hAnsi="Arial" w:cs="Arial"/>
                <w:sz w:val="18"/>
                <w:szCs w:val="18"/>
              </w:rPr>
              <w:t>Dashboard Excel Export**</w:t>
            </w:r>
          </w:p>
        </w:tc>
      </w:tr>
      <w:tr w:rsidR="00C408BE" w:rsidRPr="00082FCF" w14:paraId="0697EEC4" w14:textId="77777777" w:rsidTr="003235C7">
        <w:trPr>
          <w:trHeight w:val="250"/>
        </w:trPr>
        <w:tc>
          <w:tcPr>
            <w:tcW w:w="985" w:type="dxa"/>
          </w:tcPr>
          <w:p w14:paraId="7D04AFC8" w14:textId="25728E4F"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37D87F45" w14:textId="12FAD634" w:rsidR="00C408BE" w:rsidRPr="00082FCF" w:rsidRDefault="00C408BE" w:rsidP="00B67123">
            <w:pPr>
              <w:rPr>
                <w:rFonts w:ascii="Arial" w:hAnsi="Arial" w:cs="Arial"/>
                <w:sz w:val="18"/>
                <w:szCs w:val="18"/>
              </w:rPr>
            </w:pPr>
            <w:r w:rsidRPr="00082FCF">
              <w:rPr>
                <w:rFonts w:ascii="Arial" w:hAnsi="Arial" w:cs="Arial"/>
                <w:sz w:val="18"/>
                <w:szCs w:val="18"/>
              </w:rPr>
              <w:t>High Priority Care Plan Validation Export</w:t>
            </w:r>
          </w:p>
        </w:tc>
        <w:tc>
          <w:tcPr>
            <w:tcW w:w="3240" w:type="dxa"/>
          </w:tcPr>
          <w:p w14:paraId="27FF628D" w14:textId="53BDDBD5" w:rsidR="00C408BE" w:rsidRPr="00082FCF" w:rsidRDefault="00520049" w:rsidP="00B67123">
            <w:pPr>
              <w:rPr>
                <w:rFonts w:ascii="Arial" w:hAnsi="Arial" w:cs="Arial"/>
                <w:sz w:val="18"/>
                <w:szCs w:val="18"/>
              </w:rPr>
            </w:pPr>
            <w:r w:rsidRPr="00082FCF">
              <w:rPr>
                <w:rFonts w:ascii="Arial" w:hAnsi="Arial" w:cs="Arial"/>
                <w:sz w:val="18"/>
                <w:szCs w:val="18"/>
              </w:rPr>
              <w:t xml:space="preserve">After selection of their HPB list the provider are able to download care plans to support their selection and to be validated. </w:t>
            </w:r>
          </w:p>
        </w:tc>
        <w:tc>
          <w:tcPr>
            <w:tcW w:w="1170" w:type="dxa"/>
          </w:tcPr>
          <w:p w14:paraId="07975E66" w14:textId="1D9CD243" w:rsidR="00C408BE" w:rsidRPr="00082FCF" w:rsidRDefault="00C408BE" w:rsidP="00B67123">
            <w:pPr>
              <w:rPr>
                <w:rFonts w:ascii="Arial" w:hAnsi="Arial" w:cs="Arial"/>
                <w:sz w:val="18"/>
                <w:szCs w:val="18"/>
              </w:rPr>
            </w:pPr>
            <w:r w:rsidRPr="00082FCF">
              <w:rPr>
                <w:rFonts w:ascii="Arial" w:hAnsi="Arial" w:cs="Arial"/>
                <w:sz w:val="18"/>
                <w:szCs w:val="18"/>
              </w:rPr>
              <w:t>XSLX</w:t>
            </w:r>
          </w:p>
        </w:tc>
        <w:tc>
          <w:tcPr>
            <w:tcW w:w="1890" w:type="dxa"/>
          </w:tcPr>
          <w:p w14:paraId="108491B4" w14:textId="305A9E98"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48D66E52"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550D2AD9" w14:textId="2FD1D9F4"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75319EB8" w14:textId="700DDDA5" w:rsidR="00C408BE" w:rsidRPr="00082FCF" w:rsidRDefault="00C408BE" w:rsidP="00B67123">
            <w:pPr>
              <w:rPr>
                <w:rFonts w:ascii="Arial" w:hAnsi="Arial" w:cs="Arial"/>
                <w:sz w:val="18"/>
                <w:szCs w:val="18"/>
              </w:rPr>
            </w:pPr>
            <w:r w:rsidRPr="00082FCF">
              <w:rPr>
                <w:rFonts w:ascii="Arial" w:eastAsia="Times New Roman" w:hAnsi="Arial" w:cs="Arial"/>
                <w:sz w:val="18"/>
                <w:szCs w:val="18"/>
              </w:rPr>
              <w:t>Updated real time as providers complete attestation and as AFMC completes validation.</w:t>
            </w:r>
          </w:p>
        </w:tc>
        <w:tc>
          <w:tcPr>
            <w:tcW w:w="1985" w:type="dxa"/>
          </w:tcPr>
          <w:p w14:paraId="0BA2FB86" w14:textId="009E9D9F" w:rsidR="00C408BE" w:rsidRPr="00082FCF" w:rsidRDefault="00C408BE" w:rsidP="00B67123">
            <w:pPr>
              <w:rPr>
                <w:rFonts w:ascii="Arial" w:hAnsi="Arial" w:cs="Arial"/>
                <w:sz w:val="18"/>
                <w:szCs w:val="18"/>
              </w:rPr>
            </w:pPr>
            <w:r w:rsidRPr="00082FCF">
              <w:rPr>
                <w:rFonts w:ascii="Arial" w:hAnsi="Arial" w:cs="Arial"/>
                <w:sz w:val="18"/>
                <w:szCs w:val="18"/>
              </w:rPr>
              <w:t>Dashboard Excel Export**</w:t>
            </w:r>
          </w:p>
        </w:tc>
      </w:tr>
      <w:tr w:rsidR="00C408BE" w:rsidRPr="00082FCF" w14:paraId="10EDE981" w14:textId="77777777" w:rsidTr="003235C7">
        <w:trPr>
          <w:trHeight w:val="250"/>
        </w:trPr>
        <w:tc>
          <w:tcPr>
            <w:tcW w:w="985" w:type="dxa"/>
          </w:tcPr>
          <w:p w14:paraId="6ED6E40A" w14:textId="36CA40C5" w:rsidR="00C408BE" w:rsidRPr="00082FCF" w:rsidRDefault="00C408BE" w:rsidP="00B67123">
            <w:pPr>
              <w:rPr>
                <w:rFonts w:ascii="Arial" w:hAnsi="Arial" w:cs="Arial"/>
                <w:sz w:val="18"/>
                <w:szCs w:val="18"/>
              </w:rPr>
            </w:pPr>
            <w:r w:rsidRPr="00082FCF">
              <w:rPr>
                <w:rFonts w:ascii="Arial" w:hAnsi="Arial" w:cs="Arial"/>
                <w:sz w:val="18"/>
                <w:szCs w:val="18"/>
              </w:rPr>
              <w:t>PCMH</w:t>
            </w:r>
          </w:p>
        </w:tc>
        <w:tc>
          <w:tcPr>
            <w:tcW w:w="2160" w:type="dxa"/>
          </w:tcPr>
          <w:p w14:paraId="44F73F01" w14:textId="6B20B02C" w:rsidR="00C408BE" w:rsidRPr="00082FCF" w:rsidRDefault="00C408BE" w:rsidP="00B67123">
            <w:pPr>
              <w:rPr>
                <w:rFonts w:ascii="Arial" w:hAnsi="Arial" w:cs="Arial"/>
                <w:sz w:val="18"/>
                <w:szCs w:val="18"/>
              </w:rPr>
            </w:pPr>
            <w:r w:rsidRPr="00082FCF">
              <w:rPr>
                <w:rFonts w:ascii="Arial" w:hAnsi="Arial" w:cs="Arial"/>
                <w:sz w:val="18"/>
                <w:szCs w:val="18"/>
              </w:rPr>
              <w:t>Performance Based Incentive Payment (PBIP) Reconciliation Export</w:t>
            </w:r>
          </w:p>
        </w:tc>
        <w:tc>
          <w:tcPr>
            <w:tcW w:w="3240" w:type="dxa"/>
          </w:tcPr>
          <w:p w14:paraId="0EE9C221" w14:textId="3ECF46E3" w:rsidR="00C408BE" w:rsidRPr="00082FCF" w:rsidRDefault="00D547E4" w:rsidP="00B67123">
            <w:pPr>
              <w:rPr>
                <w:rFonts w:ascii="Arial" w:hAnsi="Arial" w:cs="Arial"/>
                <w:sz w:val="18"/>
                <w:szCs w:val="18"/>
              </w:rPr>
            </w:pPr>
            <w:r w:rsidRPr="00082FCF">
              <w:rPr>
                <w:rFonts w:ascii="Arial" w:hAnsi="Arial" w:cs="Arial"/>
                <w:sz w:val="18"/>
                <w:szCs w:val="18"/>
              </w:rPr>
              <w:t xml:space="preserve">This report recognizes every patient that is counted adversely in these three measures and allows the practice to submit supporting </w:t>
            </w:r>
            <w:r w:rsidRPr="00082FCF">
              <w:rPr>
                <w:rFonts w:ascii="Arial" w:hAnsi="Arial" w:cs="Arial"/>
                <w:sz w:val="18"/>
                <w:szCs w:val="18"/>
              </w:rPr>
              <w:lastRenderedPageBreak/>
              <w:t xml:space="preserve">documentation for those they feel should be counted for them.  It allows for the DMS to communicate with providers if they need additional information or if the incorrect information has been provided.  It allows for DMS make a final decision on each patient of visit.   </w:t>
            </w:r>
          </w:p>
        </w:tc>
        <w:tc>
          <w:tcPr>
            <w:tcW w:w="1170" w:type="dxa"/>
          </w:tcPr>
          <w:p w14:paraId="5C38EE71" w14:textId="0C78D71F" w:rsidR="00C408BE" w:rsidRPr="00082FCF" w:rsidRDefault="00C408BE" w:rsidP="00B67123">
            <w:pPr>
              <w:rPr>
                <w:rFonts w:ascii="Arial" w:hAnsi="Arial" w:cs="Arial"/>
                <w:sz w:val="18"/>
                <w:szCs w:val="18"/>
              </w:rPr>
            </w:pPr>
            <w:r w:rsidRPr="00082FCF">
              <w:rPr>
                <w:rFonts w:ascii="Arial" w:hAnsi="Arial" w:cs="Arial"/>
                <w:sz w:val="18"/>
                <w:szCs w:val="18"/>
              </w:rPr>
              <w:lastRenderedPageBreak/>
              <w:t>XSLX</w:t>
            </w:r>
          </w:p>
        </w:tc>
        <w:tc>
          <w:tcPr>
            <w:tcW w:w="1890" w:type="dxa"/>
          </w:tcPr>
          <w:p w14:paraId="0599DA6D" w14:textId="00BB3BBD"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DHS</w:t>
            </w:r>
          </w:p>
          <w:p w14:paraId="0793789A" w14:textId="77777777"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p w14:paraId="0F20402B" w14:textId="32345E71" w:rsidR="00C408BE" w:rsidRPr="00082FCF" w:rsidRDefault="00C408BE" w:rsidP="00B67123">
            <w:pPr>
              <w:pStyle w:val="ListParagraph"/>
              <w:numPr>
                <w:ilvl w:val="0"/>
                <w:numId w:val="1"/>
              </w:numPr>
              <w:rPr>
                <w:rFonts w:ascii="Arial" w:hAnsi="Arial" w:cs="Arial"/>
                <w:sz w:val="18"/>
                <w:szCs w:val="18"/>
              </w:rPr>
            </w:pPr>
            <w:r w:rsidRPr="00082FCF">
              <w:rPr>
                <w:rFonts w:ascii="Arial" w:hAnsi="Arial" w:cs="Arial"/>
                <w:sz w:val="18"/>
                <w:szCs w:val="18"/>
              </w:rPr>
              <w:lastRenderedPageBreak/>
              <w:t>DHS authorized vendors</w:t>
            </w:r>
          </w:p>
        </w:tc>
        <w:tc>
          <w:tcPr>
            <w:tcW w:w="1630" w:type="dxa"/>
          </w:tcPr>
          <w:p w14:paraId="52253576" w14:textId="3475F0C5" w:rsidR="00C408BE" w:rsidRPr="00082FCF" w:rsidRDefault="00C408BE" w:rsidP="00B67123">
            <w:pPr>
              <w:rPr>
                <w:rFonts w:ascii="Arial" w:eastAsia="Times New Roman" w:hAnsi="Arial" w:cs="Arial"/>
                <w:sz w:val="18"/>
                <w:szCs w:val="18"/>
              </w:rPr>
            </w:pPr>
            <w:r w:rsidRPr="00082FCF">
              <w:rPr>
                <w:rFonts w:ascii="Arial" w:eastAsia="Times New Roman" w:hAnsi="Arial" w:cs="Arial"/>
                <w:sz w:val="18"/>
                <w:szCs w:val="18"/>
              </w:rPr>
              <w:lastRenderedPageBreak/>
              <w:t>Updated annually,</w:t>
            </w:r>
          </w:p>
          <w:p w14:paraId="634A604D" w14:textId="02AE6AA2" w:rsidR="00C408BE" w:rsidRPr="00082FCF" w:rsidRDefault="00C408BE" w:rsidP="00B67123">
            <w:pPr>
              <w:rPr>
                <w:rFonts w:ascii="Arial" w:hAnsi="Arial" w:cs="Arial"/>
                <w:sz w:val="18"/>
                <w:szCs w:val="18"/>
              </w:rPr>
            </w:pPr>
            <w:r w:rsidRPr="00082FCF">
              <w:rPr>
                <w:rFonts w:ascii="Arial" w:eastAsia="Times New Roman" w:hAnsi="Arial" w:cs="Arial"/>
                <w:sz w:val="18"/>
                <w:szCs w:val="18"/>
              </w:rPr>
              <w:lastRenderedPageBreak/>
              <w:t>monitoring is updated real time.</w:t>
            </w:r>
          </w:p>
        </w:tc>
        <w:tc>
          <w:tcPr>
            <w:tcW w:w="1985" w:type="dxa"/>
          </w:tcPr>
          <w:p w14:paraId="375D4A08" w14:textId="60119734" w:rsidR="00C408BE" w:rsidRPr="00082FCF" w:rsidRDefault="00C408BE" w:rsidP="00B67123">
            <w:pPr>
              <w:rPr>
                <w:rFonts w:ascii="Arial" w:hAnsi="Arial" w:cs="Arial"/>
                <w:sz w:val="18"/>
                <w:szCs w:val="18"/>
              </w:rPr>
            </w:pPr>
            <w:r w:rsidRPr="00082FCF">
              <w:rPr>
                <w:rFonts w:ascii="Arial" w:hAnsi="Arial" w:cs="Arial"/>
                <w:sz w:val="18"/>
                <w:szCs w:val="18"/>
              </w:rPr>
              <w:lastRenderedPageBreak/>
              <w:t>Dashboard Excel Export**</w:t>
            </w:r>
          </w:p>
        </w:tc>
      </w:tr>
      <w:tr w:rsidR="00C408BE" w:rsidRPr="00082FCF" w14:paraId="7B7167A4" w14:textId="2335F2A9" w:rsidTr="003235C7">
        <w:trPr>
          <w:trHeight w:val="250"/>
        </w:trPr>
        <w:tc>
          <w:tcPr>
            <w:tcW w:w="985" w:type="dxa"/>
          </w:tcPr>
          <w:p w14:paraId="02C96B39" w14:textId="17E97F58"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04231BFD" w14:textId="73C711FB" w:rsidR="00C408BE" w:rsidRPr="00082FCF" w:rsidRDefault="00C408BE" w:rsidP="00C408BE">
            <w:pPr>
              <w:rPr>
                <w:rFonts w:ascii="Arial" w:hAnsi="Arial" w:cs="Arial"/>
                <w:sz w:val="18"/>
                <w:szCs w:val="18"/>
              </w:rPr>
            </w:pPr>
            <w:r w:rsidRPr="00082FCF">
              <w:rPr>
                <w:rFonts w:ascii="Arial" w:hAnsi="Arial" w:cs="Arial"/>
                <w:sz w:val="18"/>
                <w:szCs w:val="18"/>
              </w:rPr>
              <w:t>PCMH Metric Aggregation Report</w:t>
            </w:r>
          </w:p>
        </w:tc>
        <w:tc>
          <w:tcPr>
            <w:tcW w:w="3240" w:type="dxa"/>
          </w:tcPr>
          <w:p w14:paraId="51F567D1" w14:textId="3709C12C" w:rsidR="00C408BE" w:rsidRPr="00082FCF" w:rsidRDefault="00C408BE" w:rsidP="00C408BE">
            <w:pPr>
              <w:rPr>
                <w:rFonts w:ascii="Arial" w:hAnsi="Arial" w:cs="Arial"/>
                <w:sz w:val="18"/>
                <w:szCs w:val="18"/>
              </w:rPr>
            </w:pPr>
            <w:r w:rsidRPr="00082FCF">
              <w:rPr>
                <w:rFonts w:ascii="Arial" w:hAnsi="Arial" w:cs="Arial"/>
                <w:sz w:val="18"/>
                <w:szCs w:val="18"/>
              </w:rPr>
              <w:t>Practice support, quality, and utilization metric aggregated results reported at the PCMH and Pool levels.</w:t>
            </w:r>
          </w:p>
        </w:tc>
        <w:tc>
          <w:tcPr>
            <w:tcW w:w="1170" w:type="dxa"/>
          </w:tcPr>
          <w:p w14:paraId="6A139E8E" w14:textId="4E5D313C"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287C37EC"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0DB6B06A" w14:textId="407A125B"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349A8B87" w14:textId="261EFAB0" w:rsidR="00C408BE" w:rsidRPr="00082FCF" w:rsidRDefault="00C408BE" w:rsidP="00C408BE">
            <w:pPr>
              <w:rPr>
                <w:rFonts w:ascii="Arial" w:eastAsia="Times New Roman" w:hAnsi="Arial" w:cs="Arial"/>
                <w:sz w:val="18"/>
                <w:szCs w:val="18"/>
              </w:rPr>
            </w:pPr>
            <w:r w:rsidRPr="00082FCF">
              <w:rPr>
                <w:rFonts w:ascii="Arial" w:hAnsi="Arial" w:cs="Arial"/>
                <w:sz w:val="18"/>
                <w:szCs w:val="18"/>
              </w:rPr>
              <w:t>Quarterly</w:t>
            </w:r>
          </w:p>
        </w:tc>
        <w:tc>
          <w:tcPr>
            <w:tcW w:w="1985" w:type="dxa"/>
          </w:tcPr>
          <w:p w14:paraId="0D83EC4F" w14:textId="0BC73686" w:rsidR="00C408BE" w:rsidRPr="00082FCF" w:rsidRDefault="00C408BE" w:rsidP="00C408BE">
            <w:pPr>
              <w:rPr>
                <w:rFonts w:ascii="Arial" w:hAnsi="Arial" w:cs="Arial"/>
                <w:sz w:val="18"/>
                <w:szCs w:val="18"/>
              </w:rPr>
            </w:pPr>
            <w:r w:rsidRPr="00082FCF">
              <w:rPr>
                <w:rFonts w:ascii="Arial" w:hAnsi="Arial" w:cs="Arial"/>
                <w:sz w:val="18"/>
                <w:szCs w:val="18"/>
              </w:rPr>
              <w:t>Email: D</w:t>
            </w:r>
            <w:r w:rsidR="00DB7BFF" w:rsidRPr="00082FCF">
              <w:rPr>
                <w:rFonts w:ascii="Arial" w:hAnsi="Arial" w:cs="Arial"/>
                <w:sz w:val="18"/>
                <w:szCs w:val="18"/>
              </w:rPr>
              <w:t>H</w:t>
            </w:r>
            <w:r w:rsidRPr="00082FCF">
              <w:rPr>
                <w:rFonts w:ascii="Arial" w:hAnsi="Arial" w:cs="Arial"/>
                <w:sz w:val="18"/>
                <w:szCs w:val="18"/>
              </w:rPr>
              <w:t xml:space="preserve">S, AFMC, </w:t>
            </w:r>
            <w:r w:rsidR="004866A8" w:rsidRPr="00082FCF">
              <w:rPr>
                <w:rFonts w:ascii="Arial" w:hAnsi="Arial" w:cs="Arial"/>
                <w:sz w:val="18"/>
                <w:szCs w:val="18"/>
              </w:rPr>
              <w:t xml:space="preserve">analytics vendor </w:t>
            </w:r>
          </w:p>
          <w:p w14:paraId="190D5949" w14:textId="77777777" w:rsidR="00C408BE" w:rsidRPr="00082FCF" w:rsidRDefault="00C408BE" w:rsidP="00C408BE">
            <w:pPr>
              <w:rPr>
                <w:rFonts w:ascii="Arial" w:hAnsi="Arial" w:cs="Arial"/>
                <w:sz w:val="18"/>
                <w:szCs w:val="18"/>
              </w:rPr>
            </w:pPr>
          </w:p>
          <w:p w14:paraId="27E79CA7" w14:textId="33DC208E" w:rsidR="00C408BE" w:rsidRPr="00082FCF" w:rsidRDefault="00BC4C1C" w:rsidP="00C408BE">
            <w:pPr>
              <w:rPr>
                <w:rFonts w:ascii="Arial" w:hAnsi="Arial" w:cs="Arial"/>
                <w:sz w:val="18"/>
                <w:szCs w:val="18"/>
              </w:rPr>
            </w:pPr>
            <w:r w:rsidRPr="00082FCF">
              <w:rPr>
                <w:rFonts w:ascii="Arial" w:hAnsi="Arial" w:cs="Arial"/>
                <w:sz w:val="18"/>
                <w:szCs w:val="18"/>
              </w:rPr>
              <w:t xml:space="preserve">PCMH </w:t>
            </w:r>
            <w:r w:rsidR="00C408BE" w:rsidRPr="00082FCF">
              <w:rPr>
                <w:rFonts w:ascii="Arial" w:hAnsi="Arial" w:cs="Arial"/>
                <w:sz w:val="18"/>
                <w:szCs w:val="18"/>
              </w:rPr>
              <w:t>Report List: D</w:t>
            </w:r>
            <w:r w:rsidR="00DB7BFF" w:rsidRPr="00082FCF">
              <w:rPr>
                <w:rFonts w:ascii="Arial" w:hAnsi="Arial" w:cs="Arial"/>
                <w:sz w:val="18"/>
                <w:szCs w:val="18"/>
              </w:rPr>
              <w:t>H</w:t>
            </w:r>
            <w:r w:rsidR="00C408BE" w:rsidRPr="00082FCF">
              <w:rPr>
                <w:rFonts w:ascii="Arial" w:hAnsi="Arial" w:cs="Arial"/>
                <w:sz w:val="18"/>
                <w:szCs w:val="18"/>
              </w:rPr>
              <w:t xml:space="preserve">S, </w:t>
            </w:r>
            <w:r w:rsidRPr="00082FCF">
              <w:rPr>
                <w:rFonts w:ascii="Arial" w:hAnsi="Arial" w:cs="Arial"/>
                <w:sz w:val="18"/>
                <w:szCs w:val="18"/>
              </w:rPr>
              <w:t>analytics vendor</w:t>
            </w:r>
          </w:p>
        </w:tc>
      </w:tr>
      <w:tr w:rsidR="00C408BE" w:rsidRPr="00082FCF" w14:paraId="4DFC10B8" w14:textId="62C65953" w:rsidTr="003235C7">
        <w:trPr>
          <w:trHeight w:val="250"/>
        </w:trPr>
        <w:tc>
          <w:tcPr>
            <w:tcW w:w="985" w:type="dxa"/>
          </w:tcPr>
          <w:p w14:paraId="7F1C5EEE" w14:textId="5F2A3F22"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7E72D05C" w14:textId="72C4EB4B" w:rsidR="00C408BE" w:rsidRPr="00082FCF" w:rsidRDefault="00C408BE" w:rsidP="00C408BE">
            <w:pPr>
              <w:rPr>
                <w:rFonts w:ascii="Arial" w:hAnsi="Arial" w:cs="Arial"/>
                <w:sz w:val="18"/>
                <w:szCs w:val="18"/>
              </w:rPr>
            </w:pPr>
            <w:r w:rsidRPr="00082FCF">
              <w:rPr>
                <w:rFonts w:ascii="Arial" w:hAnsi="Arial" w:cs="Arial"/>
                <w:sz w:val="18"/>
                <w:szCs w:val="18"/>
              </w:rPr>
              <w:t>PCMH Dashboard</w:t>
            </w:r>
          </w:p>
        </w:tc>
        <w:tc>
          <w:tcPr>
            <w:tcW w:w="3240" w:type="dxa"/>
          </w:tcPr>
          <w:p w14:paraId="15B05C06" w14:textId="07838453" w:rsidR="00C408BE" w:rsidRPr="00082FCF" w:rsidRDefault="00C408BE" w:rsidP="00C408BE">
            <w:pPr>
              <w:rPr>
                <w:rFonts w:ascii="Arial" w:hAnsi="Arial" w:cs="Arial"/>
                <w:sz w:val="18"/>
                <w:szCs w:val="18"/>
              </w:rPr>
            </w:pPr>
            <w:r w:rsidRPr="00082FCF">
              <w:rPr>
                <w:rFonts w:ascii="Arial" w:hAnsi="Arial" w:cs="Arial"/>
                <w:sz w:val="18"/>
                <w:szCs w:val="18"/>
              </w:rPr>
              <w:t>The PCMH Dashboard is intended to be used by DMS staff as a reference guide for important PCMH facts and data on enrolled and unenrolled practices.</w:t>
            </w:r>
          </w:p>
        </w:tc>
        <w:tc>
          <w:tcPr>
            <w:tcW w:w="1170" w:type="dxa"/>
          </w:tcPr>
          <w:p w14:paraId="56A627DF" w14:textId="18C4B4FB"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19BD3B88"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3F546C1B" w14:textId="0BA19DF6"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24C41656" w14:textId="523599C4" w:rsidR="00C408BE" w:rsidRPr="00082FCF" w:rsidRDefault="00C408BE" w:rsidP="00C408BE">
            <w:pPr>
              <w:rPr>
                <w:rFonts w:ascii="Arial" w:eastAsia="Times New Roman" w:hAnsi="Arial" w:cs="Arial"/>
                <w:sz w:val="18"/>
                <w:szCs w:val="18"/>
              </w:rPr>
            </w:pPr>
            <w:r w:rsidRPr="00082FCF">
              <w:rPr>
                <w:rFonts w:ascii="Arial" w:hAnsi="Arial" w:cs="Arial"/>
                <w:i/>
                <w:sz w:val="18"/>
                <w:szCs w:val="18"/>
              </w:rPr>
              <w:t>No longer updated. Last update was Q1 2020.</w:t>
            </w:r>
          </w:p>
        </w:tc>
        <w:tc>
          <w:tcPr>
            <w:tcW w:w="1985" w:type="dxa"/>
          </w:tcPr>
          <w:p w14:paraId="1199A282" w14:textId="6FB74F92" w:rsidR="00C408BE" w:rsidRPr="00082FCF" w:rsidRDefault="00BC4C1C" w:rsidP="00C408BE">
            <w:pPr>
              <w:rPr>
                <w:rFonts w:ascii="Arial" w:hAnsi="Arial" w:cs="Arial"/>
                <w:sz w:val="18"/>
                <w:szCs w:val="18"/>
              </w:rPr>
            </w:pPr>
            <w:r w:rsidRPr="00082FCF">
              <w:rPr>
                <w:rFonts w:ascii="Arial" w:hAnsi="Arial" w:cs="Arial"/>
                <w:sz w:val="18"/>
                <w:szCs w:val="18"/>
              </w:rPr>
              <w:t>PCMH</w:t>
            </w:r>
            <w:r w:rsidR="00C408BE" w:rsidRPr="00082FCF">
              <w:rPr>
                <w:rFonts w:ascii="Arial" w:hAnsi="Arial" w:cs="Arial"/>
                <w:sz w:val="18"/>
                <w:szCs w:val="18"/>
              </w:rPr>
              <w:t xml:space="preserve"> Report List: D</w:t>
            </w:r>
            <w:r w:rsidR="00DB7BFF" w:rsidRPr="00082FCF">
              <w:rPr>
                <w:rFonts w:ascii="Arial" w:hAnsi="Arial" w:cs="Arial"/>
                <w:sz w:val="18"/>
                <w:szCs w:val="18"/>
              </w:rPr>
              <w:t>H</w:t>
            </w:r>
            <w:r w:rsidR="00C408BE" w:rsidRPr="00082FCF">
              <w:rPr>
                <w:rFonts w:ascii="Arial" w:hAnsi="Arial" w:cs="Arial"/>
                <w:sz w:val="18"/>
                <w:szCs w:val="18"/>
              </w:rPr>
              <w:t xml:space="preserve">S, </w:t>
            </w:r>
            <w:r w:rsidRPr="00082FCF">
              <w:rPr>
                <w:rFonts w:ascii="Arial" w:hAnsi="Arial" w:cs="Arial"/>
                <w:sz w:val="18"/>
                <w:szCs w:val="18"/>
              </w:rPr>
              <w:t>analytics vendor</w:t>
            </w:r>
          </w:p>
        </w:tc>
      </w:tr>
      <w:tr w:rsidR="00C408BE" w:rsidRPr="00082FCF" w14:paraId="1C2E42C1" w14:textId="06606595" w:rsidTr="003235C7">
        <w:trPr>
          <w:trHeight w:val="250"/>
        </w:trPr>
        <w:tc>
          <w:tcPr>
            <w:tcW w:w="985" w:type="dxa"/>
          </w:tcPr>
          <w:p w14:paraId="3CE25637" w14:textId="1BD75CDC"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52123E84" w14:textId="3ADC1077" w:rsidR="00C408BE" w:rsidRPr="00082FCF" w:rsidRDefault="00C408BE" w:rsidP="00C408BE">
            <w:pPr>
              <w:rPr>
                <w:rFonts w:ascii="Arial" w:hAnsi="Arial" w:cs="Arial"/>
                <w:sz w:val="18"/>
                <w:szCs w:val="18"/>
              </w:rPr>
            </w:pPr>
            <w:r w:rsidRPr="00082FCF">
              <w:rPr>
                <w:rFonts w:ascii="Arial" w:hAnsi="Arial" w:cs="Arial"/>
                <w:sz w:val="18"/>
                <w:szCs w:val="18"/>
              </w:rPr>
              <w:t>PCMH Performance Summary Report</w:t>
            </w:r>
          </w:p>
        </w:tc>
        <w:tc>
          <w:tcPr>
            <w:tcW w:w="3240" w:type="dxa"/>
          </w:tcPr>
          <w:p w14:paraId="20F5332F" w14:textId="2770727C" w:rsidR="00C408BE" w:rsidRPr="00082FCF" w:rsidRDefault="00C408BE" w:rsidP="00C408BE">
            <w:pPr>
              <w:rPr>
                <w:rFonts w:ascii="Arial" w:hAnsi="Arial" w:cs="Arial"/>
                <w:sz w:val="18"/>
                <w:szCs w:val="18"/>
              </w:rPr>
            </w:pPr>
            <w:r w:rsidRPr="00082FCF">
              <w:rPr>
                <w:rFonts w:ascii="Arial" w:hAnsi="Arial" w:cs="Arial"/>
                <w:sz w:val="18"/>
                <w:szCs w:val="18"/>
              </w:rPr>
              <w:t>The PCMH Performance Summary (PPS) Report is an internal evaluation of the PCMH program, intended to serve as an overall summary of and quick reference to key performance indicators.</w:t>
            </w:r>
          </w:p>
        </w:tc>
        <w:tc>
          <w:tcPr>
            <w:tcW w:w="1170" w:type="dxa"/>
          </w:tcPr>
          <w:p w14:paraId="55F589A4" w14:textId="27DFF87F" w:rsidR="00C408BE" w:rsidRPr="00082FCF" w:rsidRDefault="00D547E4" w:rsidP="00C408BE">
            <w:pPr>
              <w:rPr>
                <w:rFonts w:ascii="Arial" w:hAnsi="Arial" w:cs="Arial"/>
                <w:sz w:val="18"/>
                <w:szCs w:val="18"/>
              </w:rPr>
            </w:pPr>
            <w:r w:rsidRPr="00082FCF">
              <w:rPr>
                <w:rFonts w:ascii="Arial" w:hAnsi="Arial" w:cs="Arial"/>
                <w:sz w:val="18"/>
                <w:szCs w:val="18"/>
              </w:rPr>
              <w:t>PDF</w:t>
            </w:r>
          </w:p>
        </w:tc>
        <w:tc>
          <w:tcPr>
            <w:tcW w:w="1890" w:type="dxa"/>
          </w:tcPr>
          <w:p w14:paraId="2F5BF8AD"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47AE3976" w14:textId="765FBF10"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5231CE2F" w14:textId="77777777" w:rsidR="00C408BE" w:rsidRPr="00082FCF" w:rsidRDefault="00C408BE" w:rsidP="00C408BE">
            <w:pPr>
              <w:rPr>
                <w:rFonts w:ascii="Arial" w:hAnsi="Arial" w:cs="Arial"/>
                <w:sz w:val="18"/>
                <w:szCs w:val="18"/>
              </w:rPr>
            </w:pPr>
            <w:r w:rsidRPr="00082FCF">
              <w:rPr>
                <w:rFonts w:ascii="Arial" w:hAnsi="Arial" w:cs="Arial"/>
                <w:sz w:val="18"/>
                <w:szCs w:val="18"/>
              </w:rPr>
              <w:t>Annual</w:t>
            </w:r>
          </w:p>
          <w:p w14:paraId="01DF3864" w14:textId="5BBFC733" w:rsidR="00C408BE" w:rsidRPr="00082FCF" w:rsidRDefault="00C408BE" w:rsidP="00C408BE">
            <w:pPr>
              <w:rPr>
                <w:rFonts w:ascii="Arial" w:eastAsia="Times New Roman" w:hAnsi="Arial" w:cs="Arial"/>
                <w:sz w:val="18"/>
                <w:szCs w:val="18"/>
              </w:rPr>
            </w:pPr>
            <w:r w:rsidRPr="00082FCF">
              <w:rPr>
                <w:rFonts w:ascii="Arial" w:hAnsi="Arial" w:cs="Arial"/>
                <w:sz w:val="18"/>
                <w:szCs w:val="18"/>
              </w:rPr>
              <w:t>(2</w:t>
            </w:r>
            <w:r w:rsidRPr="00082FCF">
              <w:rPr>
                <w:rFonts w:ascii="Arial" w:hAnsi="Arial" w:cs="Arial"/>
                <w:sz w:val="18"/>
                <w:szCs w:val="18"/>
                <w:vertAlign w:val="superscript"/>
              </w:rPr>
              <w:t>nd</w:t>
            </w:r>
            <w:r w:rsidRPr="00082FCF">
              <w:rPr>
                <w:rFonts w:ascii="Arial" w:hAnsi="Arial" w:cs="Arial"/>
                <w:sz w:val="18"/>
                <w:szCs w:val="18"/>
              </w:rPr>
              <w:t xml:space="preserve"> quarter)</w:t>
            </w:r>
          </w:p>
        </w:tc>
        <w:tc>
          <w:tcPr>
            <w:tcW w:w="1985" w:type="dxa"/>
          </w:tcPr>
          <w:p w14:paraId="6B83039B" w14:textId="5905421E" w:rsidR="00C408BE" w:rsidRPr="00082FCF" w:rsidRDefault="00BC4C1C" w:rsidP="00C408BE">
            <w:pPr>
              <w:rPr>
                <w:rFonts w:ascii="Arial" w:hAnsi="Arial" w:cs="Arial"/>
                <w:sz w:val="18"/>
                <w:szCs w:val="18"/>
              </w:rPr>
            </w:pPr>
            <w:r w:rsidRPr="00082FCF">
              <w:rPr>
                <w:rFonts w:ascii="Arial" w:hAnsi="Arial" w:cs="Arial"/>
                <w:sz w:val="18"/>
                <w:szCs w:val="18"/>
              </w:rPr>
              <w:t>PCMH</w:t>
            </w:r>
            <w:r w:rsidR="00C408BE" w:rsidRPr="00082FCF">
              <w:rPr>
                <w:rFonts w:ascii="Arial" w:hAnsi="Arial" w:cs="Arial"/>
                <w:sz w:val="18"/>
                <w:szCs w:val="18"/>
              </w:rPr>
              <w:t xml:space="preserve"> Report List: D</w:t>
            </w:r>
            <w:r w:rsidR="00DB7BFF" w:rsidRPr="00082FCF">
              <w:rPr>
                <w:rFonts w:ascii="Arial" w:hAnsi="Arial" w:cs="Arial"/>
                <w:sz w:val="18"/>
                <w:szCs w:val="18"/>
              </w:rPr>
              <w:t>H</w:t>
            </w:r>
            <w:r w:rsidR="00C408BE" w:rsidRPr="00082FCF">
              <w:rPr>
                <w:rFonts w:ascii="Arial" w:hAnsi="Arial" w:cs="Arial"/>
                <w:sz w:val="18"/>
                <w:szCs w:val="18"/>
              </w:rPr>
              <w:t xml:space="preserve">S, </w:t>
            </w:r>
            <w:r w:rsidRPr="00082FCF">
              <w:rPr>
                <w:rFonts w:ascii="Arial" w:hAnsi="Arial" w:cs="Arial"/>
                <w:sz w:val="18"/>
                <w:szCs w:val="18"/>
              </w:rPr>
              <w:t>analytics vendor</w:t>
            </w:r>
          </w:p>
        </w:tc>
      </w:tr>
      <w:tr w:rsidR="00C408BE" w:rsidRPr="00082FCF" w14:paraId="4E262AEB" w14:textId="180EE6AC" w:rsidTr="003235C7">
        <w:trPr>
          <w:trHeight w:val="250"/>
        </w:trPr>
        <w:tc>
          <w:tcPr>
            <w:tcW w:w="985" w:type="dxa"/>
          </w:tcPr>
          <w:p w14:paraId="67B8ADC9" w14:textId="03C9F70F"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32EFDF0C" w14:textId="7617ACDF" w:rsidR="00C408BE" w:rsidRPr="00082FCF" w:rsidRDefault="00C408BE" w:rsidP="00C408BE">
            <w:pPr>
              <w:rPr>
                <w:rFonts w:ascii="Arial" w:hAnsi="Arial" w:cs="Arial"/>
                <w:sz w:val="18"/>
                <w:szCs w:val="18"/>
              </w:rPr>
            </w:pPr>
            <w:r w:rsidRPr="00082FCF">
              <w:rPr>
                <w:rFonts w:ascii="Arial" w:hAnsi="Arial" w:cs="Arial"/>
                <w:sz w:val="18"/>
                <w:szCs w:val="18"/>
              </w:rPr>
              <w:t>PCMH Attribution Report</w:t>
            </w:r>
          </w:p>
        </w:tc>
        <w:tc>
          <w:tcPr>
            <w:tcW w:w="3240" w:type="dxa"/>
          </w:tcPr>
          <w:p w14:paraId="374C9FD5" w14:textId="054FF095" w:rsidR="00C408BE" w:rsidRPr="00082FCF" w:rsidRDefault="00C408BE" w:rsidP="00C408BE">
            <w:pPr>
              <w:rPr>
                <w:rFonts w:ascii="Arial" w:hAnsi="Arial" w:cs="Arial"/>
                <w:sz w:val="18"/>
                <w:szCs w:val="18"/>
              </w:rPr>
            </w:pPr>
            <w:r w:rsidRPr="00082FCF">
              <w:rPr>
                <w:rFonts w:ascii="Arial" w:hAnsi="Arial" w:cs="Arial"/>
                <w:sz w:val="18"/>
                <w:szCs w:val="18"/>
              </w:rPr>
              <w:t>Displays the PCPs attributed to the PCMH.</w:t>
            </w:r>
          </w:p>
        </w:tc>
        <w:tc>
          <w:tcPr>
            <w:tcW w:w="1170" w:type="dxa"/>
          </w:tcPr>
          <w:p w14:paraId="3D9B5896" w14:textId="10B67052"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2D5A0641"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0BA23841" w14:textId="71AEB44B"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5647826D" w14:textId="77777777" w:rsidR="00C408BE" w:rsidRPr="00082FCF" w:rsidRDefault="00C408BE" w:rsidP="00C408BE">
            <w:pPr>
              <w:rPr>
                <w:rFonts w:ascii="Arial" w:hAnsi="Arial" w:cs="Arial"/>
                <w:sz w:val="18"/>
                <w:szCs w:val="18"/>
              </w:rPr>
            </w:pPr>
            <w:r w:rsidRPr="00082FCF">
              <w:rPr>
                <w:rFonts w:ascii="Arial" w:hAnsi="Arial" w:cs="Arial"/>
                <w:sz w:val="18"/>
                <w:szCs w:val="18"/>
              </w:rPr>
              <w:t>Quarterly</w:t>
            </w:r>
          </w:p>
          <w:p w14:paraId="10638011" w14:textId="77777777" w:rsidR="00C408BE" w:rsidRPr="00082FCF" w:rsidRDefault="00C408BE" w:rsidP="00C408BE">
            <w:pPr>
              <w:rPr>
                <w:rFonts w:ascii="Arial" w:hAnsi="Arial" w:cs="Arial"/>
                <w:sz w:val="18"/>
                <w:szCs w:val="18"/>
              </w:rPr>
            </w:pPr>
          </w:p>
          <w:p w14:paraId="6954CD35" w14:textId="5434D84D" w:rsidR="00C408BE" w:rsidRPr="00082FCF" w:rsidRDefault="00C408BE" w:rsidP="00C408BE">
            <w:pPr>
              <w:rPr>
                <w:rFonts w:ascii="Arial" w:eastAsia="Times New Roman" w:hAnsi="Arial" w:cs="Arial"/>
                <w:sz w:val="18"/>
                <w:szCs w:val="18"/>
              </w:rPr>
            </w:pPr>
            <w:r w:rsidRPr="00082FCF">
              <w:rPr>
                <w:rFonts w:ascii="Arial" w:hAnsi="Arial" w:cs="Arial"/>
                <w:i/>
                <w:iCs/>
                <w:sz w:val="18"/>
                <w:szCs w:val="18"/>
              </w:rPr>
              <w:t>(Retired after Q4 2021)</w:t>
            </w:r>
          </w:p>
        </w:tc>
        <w:tc>
          <w:tcPr>
            <w:tcW w:w="1985" w:type="dxa"/>
          </w:tcPr>
          <w:p w14:paraId="755161E9" w14:textId="6817C41D" w:rsidR="00C408BE" w:rsidRPr="00082FCF" w:rsidRDefault="00BC4C1C" w:rsidP="00C408BE">
            <w:pPr>
              <w:rPr>
                <w:rFonts w:ascii="Arial" w:hAnsi="Arial" w:cs="Arial"/>
                <w:sz w:val="18"/>
                <w:szCs w:val="18"/>
              </w:rPr>
            </w:pPr>
            <w:r w:rsidRPr="00082FCF">
              <w:rPr>
                <w:rFonts w:ascii="Arial" w:hAnsi="Arial" w:cs="Arial"/>
                <w:sz w:val="18"/>
                <w:szCs w:val="18"/>
              </w:rPr>
              <w:t xml:space="preserve">PCMH </w:t>
            </w:r>
            <w:r w:rsidR="00C408BE" w:rsidRPr="00082FCF">
              <w:rPr>
                <w:rFonts w:ascii="Arial" w:hAnsi="Arial" w:cs="Arial"/>
                <w:sz w:val="18"/>
                <w:szCs w:val="18"/>
              </w:rPr>
              <w:t>Report List: D</w:t>
            </w:r>
            <w:r w:rsidR="00DB7BFF" w:rsidRPr="00082FCF">
              <w:rPr>
                <w:rFonts w:ascii="Arial" w:hAnsi="Arial" w:cs="Arial"/>
                <w:sz w:val="18"/>
                <w:szCs w:val="18"/>
              </w:rPr>
              <w:t>H</w:t>
            </w:r>
            <w:r w:rsidR="00C408BE" w:rsidRPr="00082FCF">
              <w:rPr>
                <w:rFonts w:ascii="Arial" w:hAnsi="Arial" w:cs="Arial"/>
                <w:sz w:val="18"/>
                <w:szCs w:val="18"/>
              </w:rPr>
              <w:t xml:space="preserve">S, AFMC, </w:t>
            </w:r>
            <w:r w:rsidR="00DB7BFF" w:rsidRPr="00082FCF">
              <w:rPr>
                <w:rFonts w:ascii="Arial" w:hAnsi="Arial" w:cs="Arial"/>
                <w:sz w:val="18"/>
                <w:szCs w:val="18"/>
              </w:rPr>
              <w:t>analytics vendor</w:t>
            </w:r>
          </w:p>
        </w:tc>
      </w:tr>
      <w:tr w:rsidR="00C408BE" w:rsidRPr="00082FCF" w14:paraId="3070E711" w14:textId="5DD46806" w:rsidTr="003235C7">
        <w:trPr>
          <w:trHeight w:val="250"/>
        </w:trPr>
        <w:tc>
          <w:tcPr>
            <w:tcW w:w="985" w:type="dxa"/>
          </w:tcPr>
          <w:p w14:paraId="6AB39BAE" w14:textId="064BDD96"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0768420C" w14:textId="278081FC" w:rsidR="00C408BE" w:rsidRPr="00082FCF" w:rsidRDefault="00C408BE" w:rsidP="00C408BE">
            <w:pPr>
              <w:rPr>
                <w:rFonts w:ascii="Arial" w:hAnsi="Arial" w:cs="Arial"/>
                <w:sz w:val="18"/>
                <w:szCs w:val="18"/>
              </w:rPr>
            </w:pPr>
            <w:r w:rsidRPr="00082FCF">
              <w:rPr>
                <w:rFonts w:ascii="Arial" w:hAnsi="Arial" w:cs="Arial"/>
                <w:sz w:val="18"/>
                <w:szCs w:val="18"/>
              </w:rPr>
              <w:t>PCMH Beneficiary Care Category Report</w:t>
            </w:r>
          </w:p>
        </w:tc>
        <w:tc>
          <w:tcPr>
            <w:tcW w:w="3240" w:type="dxa"/>
          </w:tcPr>
          <w:p w14:paraId="45BA860C" w14:textId="080766C2" w:rsidR="00C408BE" w:rsidRPr="00082FCF" w:rsidRDefault="00C408BE" w:rsidP="00C408BE">
            <w:pPr>
              <w:rPr>
                <w:rFonts w:ascii="Arial" w:hAnsi="Arial" w:cs="Arial"/>
                <w:sz w:val="18"/>
                <w:szCs w:val="18"/>
              </w:rPr>
            </w:pPr>
            <w:r w:rsidRPr="00082FCF">
              <w:rPr>
                <w:rFonts w:ascii="Arial" w:hAnsi="Arial" w:cs="Arial"/>
                <w:sz w:val="18"/>
                <w:szCs w:val="18"/>
              </w:rPr>
              <w:t>PCMH reports that provide detailed beneficiary and care category level data.</w:t>
            </w:r>
          </w:p>
        </w:tc>
        <w:tc>
          <w:tcPr>
            <w:tcW w:w="1170" w:type="dxa"/>
          </w:tcPr>
          <w:p w14:paraId="0CB0A014" w14:textId="382830AA"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0D95BF71"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6EF9DDD4" w14:textId="44DE02D4"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02C0018F" w14:textId="141F6260" w:rsidR="00C408BE" w:rsidRPr="00082FCF" w:rsidRDefault="00C408BE" w:rsidP="00C408BE">
            <w:pPr>
              <w:rPr>
                <w:rFonts w:ascii="Arial" w:eastAsia="Times New Roman" w:hAnsi="Arial" w:cs="Arial"/>
                <w:sz w:val="18"/>
                <w:szCs w:val="18"/>
              </w:rPr>
            </w:pPr>
            <w:r w:rsidRPr="00082FCF">
              <w:rPr>
                <w:rFonts w:ascii="Arial" w:hAnsi="Arial" w:cs="Arial"/>
                <w:sz w:val="18"/>
                <w:szCs w:val="18"/>
              </w:rPr>
              <w:t>Quarterly</w:t>
            </w:r>
          </w:p>
        </w:tc>
        <w:tc>
          <w:tcPr>
            <w:tcW w:w="1985" w:type="dxa"/>
          </w:tcPr>
          <w:p w14:paraId="1B088206" w14:textId="775D487E" w:rsidR="00C408BE" w:rsidRPr="00082FCF" w:rsidRDefault="00DB7BFF" w:rsidP="00C408BE">
            <w:pPr>
              <w:rPr>
                <w:rFonts w:ascii="Arial" w:hAnsi="Arial" w:cs="Arial"/>
                <w:sz w:val="18"/>
                <w:szCs w:val="18"/>
              </w:rPr>
            </w:pPr>
            <w:r w:rsidRPr="00082FCF">
              <w:rPr>
                <w:rFonts w:ascii="Arial" w:hAnsi="Arial" w:cs="Arial"/>
                <w:sz w:val="18"/>
                <w:szCs w:val="18"/>
              </w:rPr>
              <w:t xml:space="preserve">PCMH </w:t>
            </w:r>
            <w:r w:rsidR="00C408BE" w:rsidRPr="00082FCF">
              <w:rPr>
                <w:rFonts w:ascii="Arial" w:hAnsi="Arial" w:cs="Arial"/>
                <w:sz w:val="18"/>
                <w:szCs w:val="18"/>
              </w:rPr>
              <w:t>Report List: D</w:t>
            </w:r>
            <w:r w:rsidRPr="00082FCF">
              <w:rPr>
                <w:rFonts w:ascii="Arial" w:hAnsi="Arial" w:cs="Arial"/>
                <w:sz w:val="18"/>
                <w:szCs w:val="18"/>
              </w:rPr>
              <w:t>H</w:t>
            </w:r>
            <w:r w:rsidR="00C408BE" w:rsidRPr="00082FCF">
              <w:rPr>
                <w:rFonts w:ascii="Arial" w:hAnsi="Arial" w:cs="Arial"/>
                <w:sz w:val="18"/>
                <w:szCs w:val="18"/>
              </w:rPr>
              <w:t xml:space="preserve">S, </w:t>
            </w:r>
            <w:r w:rsidRPr="00082FCF">
              <w:rPr>
                <w:rFonts w:ascii="Arial" w:hAnsi="Arial" w:cs="Arial"/>
                <w:sz w:val="18"/>
                <w:szCs w:val="18"/>
              </w:rPr>
              <w:t>analytics vendor</w:t>
            </w:r>
          </w:p>
        </w:tc>
      </w:tr>
      <w:tr w:rsidR="00C408BE" w:rsidRPr="00082FCF" w14:paraId="71B23156" w14:textId="0E5E87F1" w:rsidTr="003235C7">
        <w:trPr>
          <w:trHeight w:val="250"/>
        </w:trPr>
        <w:tc>
          <w:tcPr>
            <w:tcW w:w="985" w:type="dxa"/>
          </w:tcPr>
          <w:p w14:paraId="07432250" w14:textId="03CA7D40"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3588012C" w14:textId="0A33A352" w:rsidR="00C408BE" w:rsidRPr="00082FCF" w:rsidRDefault="00C408BE" w:rsidP="00C408BE">
            <w:pPr>
              <w:rPr>
                <w:rFonts w:ascii="Arial" w:hAnsi="Arial" w:cs="Arial"/>
                <w:sz w:val="18"/>
                <w:szCs w:val="18"/>
              </w:rPr>
            </w:pPr>
            <w:r w:rsidRPr="00082FCF">
              <w:rPr>
                <w:rFonts w:ascii="Arial" w:hAnsi="Arial" w:cs="Arial"/>
                <w:sz w:val="18"/>
                <w:szCs w:val="18"/>
              </w:rPr>
              <w:t>PCMH Beneficiary Care Category Report (Excel Format)</w:t>
            </w:r>
          </w:p>
        </w:tc>
        <w:tc>
          <w:tcPr>
            <w:tcW w:w="3240" w:type="dxa"/>
          </w:tcPr>
          <w:p w14:paraId="3DA1D1F9" w14:textId="7A0D3490" w:rsidR="00C408BE" w:rsidRPr="00082FCF" w:rsidRDefault="00C408BE" w:rsidP="00C408BE">
            <w:pPr>
              <w:rPr>
                <w:rFonts w:ascii="Arial" w:hAnsi="Arial" w:cs="Arial"/>
                <w:sz w:val="18"/>
                <w:szCs w:val="18"/>
              </w:rPr>
            </w:pPr>
            <w:r w:rsidRPr="00082FCF">
              <w:rPr>
                <w:rFonts w:ascii="Arial" w:hAnsi="Arial" w:cs="Arial"/>
                <w:sz w:val="18"/>
                <w:szCs w:val="18"/>
              </w:rPr>
              <w:t>PCMH reports that provide detailed beneficiary and care category level data.</w:t>
            </w:r>
          </w:p>
        </w:tc>
        <w:tc>
          <w:tcPr>
            <w:tcW w:w="1170" w:type="dxa"/>
          </w:tcPr>
          <w:p w14:paraId="358C16F3" w14:textId="0D448B1C"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5A59463C" w14:textId="0556CE5B"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tc>
        <w:tc>
          <w:tcPr>
            <w:tcW w:w="1630" w:type="dxa"/>
          </w:tcPr>
          <w:p w14:paraId="2DE86375" w14:textId="6E373CDE" w:rsidR="00C408BE" w:rsidRPr="00082FCF" w:rsidRDefault="00C408BE" w:rsidP="00C408BE">
            <w:pPr>
              <w:rPr>
                <w:rFonts w:ascii="Arial" w:eastAsia="Times New Roman" w:hAnsi="Arial" w:cs="Arial"/>
                <w:sz w:val="18"/>
                <w:szCs w:val="18"/>
              </w:rPr>
            </w:pPr>
            <w:r w:rsidRPr="00082FCF">
              <w:rPr>
                <w:rFonts w:ascii="Arial" w:hAnsi="Arial" w:cs="Arial"/>
                <w:sz w:val="18"/>
                <w:szCs w:val="18"/>
              </w:rPr>
              <w:t>Quarterly</w:t>
            </w:r>
          </w:p>
        </w:tc>
        <w:tc>
          <w:tcPr>
            <w:tcW w:w="1985" w:type="dxa"/>
          </w:tcPr>
          <w:p w14:paraId="5826F93F" w14:textId="50B31271" w:rsidR="00C408BE" w:rsidRPr="00082FCF" w:rsidRDefault="00C408BE" w:rsidP="00C408BE">
            <w:pPr>
              <w:rPr>
                <w:rFonts w:ascii="Arial" w:hAnsi="Arial" w:cs="Arial"/>
                <w:sz w:val="18"/>
                <w:szCs w:val="18"/>
              </w:rPr>
            </w:pPr>
            <w:r w:rsidRPr="00082FCF">
              <w:rPr>
                <w:rFonts w:ascii="Arial" w:hAnsi="Arial" w:cs="Arial"/>
                <w:sz w:val="18"/>
                <w:szCs w:val="18"/>
              </w:rPr>
              <w:t>PCMH Portal (Report Center):</w:t>
            </w:r>
          </w:p>
          <w:p w14:paraId="6A34D59A" w14:textId="77777777" w:rsidR="00C408BE" w:rsidRPr="00082FCF" w:rsidRDefault="00C408BE" w:rsidP="00C408BE">
            <w:pPr>
              <w:rPr>
                <w:rFonts w:ascii="Arial" w:hAnsi="Arial" w:cs="Arial"/>
                <w:sz w:val="18"/>
                <w:szCs w:val="18"/>
              </w:rPr>
            </w:pPr>
          </w:p>
          <w:p w14:paraId="473C5C6A" w14:textId="07F36E7C" w:rsidR="00C408BE" w:rsidRPr="00082FCF" w:rsidRDefault="00C408BE" w:rsidP="00C408BE">
            <w:pPr>
              <w:rPr>
                <w:rFonts w:ascii="Arial" w:hAnsi="Arial" w:cs="Arial"/>
                <w:sz w:val="18"/>
                <w:szCs w:val="18"/>
              </w:rPr>
            </w:pPr>
            <w:r w:rsidRPr="00082FCF">
              <w:rPr>
                <w:rFonts w:ascii="Arial" w:hAnsi="Arial" w:cs="Arial"/>
                <w:sz w:val="18"/>
                <w:szCs w:val="18"/>
              </w:rPr>
              <w:t>DMS, PCMH Providers</w:t>
            </w:r>
          </w:p>
        </w:tc>
      </w:tr>
      <w:tr w:rsidR="00C408BE" w:rsidRPr="00082FCF" w14:paraId="0BE833F8" w14:textId="20E22FFD" w:rsidTr="003235C7">
        <w:trPr>
          <w:trHeight w:val="250"/>
        </w:trPr>
        <w:tc>
          <w:tcPr>
            <w:tcW w:w="985" w:type="dxa"/>
          </w:tcPr>
          <w:p w14:paraId="39530C58" w14:textId="661E5728"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420D6AE7" w14:textId="35027DDC" w:rsidR="00C408BE" w:rsidRPr="00082FCF" w:rsidRDefault="00C408BE" w:rsidP="00C408BE">
            <w:pPr>
              <w:rPr>
                <w:rFonts w:ascii="Arial" w:hAnsi="Arial" w:cs="Arial"/>
                <w:sz w:val="18"/>
                <w:szCs w:val="18"/>
              </w:rPr>
            </w:pPr>
            <w:r w:rsidRPr="00082FCF">
              <w:rPr>
                <w:rFonts w:ascii="Arial" w:hAnsi="Arial" w:cs="Arial"/>
                <w:sz w:val="18"/>
                <w:szCs w:val="18"/>
              </w:rPr>
              <w:t>PCMH Beneficiary Metric Dashboard</w:t>
            </w:r>
          </w:p>
        </w:tc>
        <w:tc>
          <w:tcPr>
            <w:tcW w:w="3240" w:type="dxa"/>
          </w:tcPr>
          <w:p w14:paraId="17CAFF14" w14:textId="3BA34314" w:rsidR="00C408BE" w:rsidRPr="00082FCF" w:rsidRDefault="00C408BE" w:rsidP="00C408BE">
            <w:pPr>
              <w:rPr>
                <w:rFonts w:ascii="Arial" w:hAnsi="Arial" w:cs="Arial"/>
                <w:sz w:val="18"/>
                <w:szCs w:val="18"/>
              </w:rPr>
            </w:pPr>
            <w:r w:rsidRPr="00082FCF">
              <w:rPr>
                <w:rFonts w:ascii="Arial" w:hAnsi="Arial" w:cs="Arial"/>
                <w:sz w:val="18"/>
                <w:szCs w:val="18"/>
              </w:rPr>
              <w:t>PCMH reports that provide detailed beneficiary and metric level data.</w:t>
            </w:r>
          </w:p>
        </w:tc>
        <w:tc>
          <w:tcPr>
            <w:tcW w:w="1170" w:type="dxa"/>
          </w:tcPr>
          <w:p w14:paraId="61A86FF7" w14:textId="357B1782" w:rsidR="00C408BE" w:rsidRPr="00082FCF" w:rsidRDefault="00D547E4" w:rsidP="00C408BE">
            <w:pPr>
              <w:rPr>
                <w:rFonts w:ascii="Arial" w:hAnsi="Arial" w:cs="Arial"/>
                <w:sz w:val="18"/>
                <w:szCs w:val="18"/>
              </w:rPr>
            </w:pPr>
            <w:r w:rsidRPr="00082FCF">
              <w:rPr>
                <w:rFonts w:ascii="Arial" w:hAnsi="Arial" w:cs="Arial"/>
                <w:sz w:val="18"/>
                <w:szCs w:val="18"/>
              </w:rPr>
              <w:t>XSLX</w:t>
            </w:r>
          </w:p>
        </w:tc>
        <w:tc>
          <w:tcPr>
            <w:tcW w:w="1890" w:type="dxa"/>
          </w:tcPr>
          <w:p w14:paraId="623E534B"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15DC3E6F" w14:textId="0C0E5CE2"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3D53EAC9" w14:textId="1E0E0E83" w:rsidR="00C408BE" w:rsidRPr="00082FCF" w:rsidRDefault="00C408BE" w:rsidP="00C408BE">
            <w:pPr>
              <w:rPr>
                <w:rFonts w:ascii="Arial" w:hAnsi="Arial" w:cs="Arial"/>
                <w:sz w:val="18"/>
                <w:szCs w:val="18"/>
              </w:rPr>
            </w:pPr>
            <w:r w:rsidRPr="00082FCF">
              <w:rPr>
                <w:rFonts w:ascii="Arial" w:hAnsi="Arial" w:cs="Arial"/>
                <w:sz w:val="18"/>
                <w:szCs w:val="18"/>
              </w:rPr>
              <w:t>Quarterly</w:t>
            </w:r>
          </w:p>
        </w:tc>
        <w:tc>
          <w:tcPr>
            <w:tcW w:w="1985" w:type="dxa"/>
          </w:tcPr>
          <w:p w14:paraId="5762FF47" w14:textId="0590D790" w:rsidR="00C408BE" w:rsidRPr="00082FCF" w:rsidRDefault="00DB7BFF" w:rsidP="00C408BE">
            <w:pPr>
              <w:rPr>
                <w:rFonts w:ascii="Arial" w:hAnsi="Arial" w:cs="Arial"/>
                <w:sz w:val="18"/>
                <w:szCs w:val="18"/>
              </w:rPr>
            </w:pPr>
            <w:r w:rsidRPr="00082FCF">
              <w:rPr>
                <w:rFonts w:ascii="Arial" w:hAnsi="Arial" w:cs="Arial"/>
                <w:sz w:val="18"/>
                <w:szCs w:val="18"/>
              </w:rPr>
              <w:t>PCMH</w:t>
            </w:r>
            <w:r w:rsidR="00C408BE" w:rsidRPr="00082FCF">
              <w:rPr>
                <w:rFonts w:ascii="Arial" w:hAnsi="Arial" w:cs="Arial"/>
                <w:sz w:val="18"/>
                <w:szCs w:val="18"/>
              </w:rPr>
              <w:t xml:space="preserve"> Report List: D</w:t>
            </w:r>
            <w:r w:rsidRPr="00082FCF">
              <w:rPr>
                <w:rFonts w:ascii="Arial" w:hAnsi="Arial" w:cs="Arial"/>
                <w:sz w:val="18"/>
                <w:szCs w:val="18"/>
              </w:rPr>
              <w:t>H</w:t>
            </w:r>
            <w:r w:rsidR="00C408BE" w:rsidRPr="00082FCF">
              <w:rPr>
                <w:rFonts w:ascii="Arial" w:hAnsi="Arial" w:cs="Arial"/>
                <w:sz w:val="18"/>
                <w:szCs w:val="18"/>
              </w:rPr>
              <w:t xml:space="preserve">S, </w:t>
            </w:r>
            <w:r w:rsidRPr="00082FCF">
              <w:rPr>
                <w:rFonts w:ascii="Arial" w:hAnsi="Arial" w:cs="Arial"/>
                <w:sz w:val="18"/>
                <w:szCs w:val="18"/>
              </w:rPr>
              <w:t>analytics vendor</w:t>
            </w:r>
          </w:p>
        </w:tc>
      </w:tr>
      <w:tr w:rsidR="00C408BE" w:rsidRPr="00082FCF" w14:paraId="434D0D7E" w14:textId="329C655E" w:rsidTr="003235C7">
        <w:trPr>
          <w:trHeight w:val="250"/>
        </w:trPr>
        <w:tc>
          <w:tcPr>
            <w:tcW w:w="985" w:type="dxa"/>
          </w:tcPr>
          <w:p w14:paraId="742FE5B0" w14:textId="7E0B732F" w:rsidR="00C408BE" w:rsidRPr="00082FCF" w:rsidRDefault="00C408BE" w:rsidP="00C408BE">
            <w:pPr>
              <w:rPr>
                <w:rFonts w:ascii="Arial" w:hAnsi="Arial" w:cs="Arial"/>
                <w:sz w:val="18"/>
                <w:szCs w:val="18"/>
              </w:rPr>
            </w:pPr>
            <w:r w:rsidRPr="00082FCF">
              <w:rPr>
                <w:rFonts w:ascii="Arial" w:hAnsi="Arial" w:cs="Arial"/>
                <w:sz w:val="18"/>
                <w:szCs w:val="18"/>
              </w:rPr>
              <w:lastRenderedPageBreak/>
              <w:t>PCMH</w:t>
            </w:r>
          </w:p>
        </w:tc>
        <w:tc>
          <w:tcPr>
            <w:tcW w:w="2160" w:type="dxa"/>
          </w:tcPr>
          <w:p w14:paraId="6C8B9063" w14:textId="184EDF2B" w:rsidR="00C408BE" w:rsidRPr="00082FCF" w:rsidRDefault="00C408BE" w:rsidP="00C408BE">
            <w:pPr>
              <w:rPr>
                <w:rFonts w:ascii="Arial" w:hAnsi="Arial" w:cs="Arial"/>
                <w:sz w:val="18"/>
                <w:szCs w:val="18"/>
              </w:rPr>
            </w:pPr>
            <w:r w:rsidRPr="00082FCF">
              <w:rPr>
                <w:rFonts w:ascii="Arial" w:hAnsi="Arial" w:cs="Arial"/>
                <w:sz w:val="18"/>
                <w:szCs w:val="18"/>
              </w:rPr>
              <w:t>PCMH Beneficiary Metric Dashboard (Excel Format)</w:t>
            </w:r>
          </w:p>
        </w:tc>
        <w:tc>
          <w:tcPr>
            <w:tcW w:w="3240" w:type="dxa"/>
          </w:tcPr>
          <w:p w14:paraId="412F251E" w14:textId="24D4294C" w:rsidR="00C408BE" w:rsidRPr="00082FCF" w:rsidRDefault="00C408BE" w:rsidP="00C408BE">
            <w:pPr>
              <w:rPr>
                <w:rFonts w:ascii="Arial" w:hAnsi="Arial" w:cs="Arial"/>
                <w:sz w:val="18"/>
                <w:szCs w:val="18"/>
              </w:rPr>
            </w:pPr>
            <w:r w:rsidRPr="00082FCF">
              <w:rPr>
                <w:rFonts w:ascii="Arial" w:hAnsi="Arial" w:cs="Arial"/>
                <w:sz w:val="18"/>
                <w:szCs w:val="18"/>
              </w:rPr>
              <w:t xml:space="preserve">PCMH reports that provide detailed beneficiary and metric level data. </w:t>
            </w:r>
          </w:p>
        </w:tc>
        <w:tc>
          <w:tcPr>
            <w:tcW w:w="1170" w:type="dxa"/>
          </w:tcPr>
          <w:p w14:paraId="48AFD32E" w14:textId="219320A7" w:rsidR="00C408BE" w:rsidRPr="00082FCF" w:rsidRDefault="00D547E4" w:rsidP="00D644E4">
            <w:pPr>
              <w:pStyle w:val="ListParagraph"/>
              <w:ind w:left="0"/>
              <w:rPr>
                <w:rFonts w:ascii="Arial" w:hAnsi="Arial" w:cs="Arial"/>
                <w:sz w:val="18"/>
                <w:szCs w:val="18"/>
              </w:rPr>
            </w:pPr>
            <w:r w:rsidRPr="00082FCF">
              <w:rPr>
                <w:rFonts w:ascii="Arial" w:hAnsi="Arial" w:cs="Arial"/>
                <w:sz w:val="18"/>
                <w:szCs w:val="18"/>
              </w:rPr>
              <w:t>XSLX</w:t>
            </w:r>
          </w:p>
        </w:tc>
        <w:tc>
          <w:tcPr>
            <w:tcW w:w="1890" w:type="dxa"/>
          </w:tcPr>
          <w:p w14:paraId="1C45590A" w14:textId="014501EC"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PCMH Enrolled Providers</w:t>
            </w:r>
          </w:p>
        </w:tc>
        <w:tc>
          <w:tcPr>
            <w:tcW w:w="1630" w:type="dxa"/>
          </w:tcPr>
          <w:p w14:paraId="2B75997E" w14:textId="4F6777E0" w:rsidR="00C408BE" w:rsidRPr="00082FCF" w:rsidRDefault="00C408BE" w:rsidP="00C408BE">
            <w:pPr>
              <w:rPr>
                <w:rFonts w:ascii="Arial" w:hAnsi="Arial" w:cs="Arial"/>
                <w:sz w:val="18"/>
                <w:szCs w:val="18"/>
              </w:rPr>
            </w:pPr>
            <w:r w:rsidRPr="00082FCF">
              <w:rPr>
                <w:rFonts w:ascii="Arial" w:hAnsi="Arial" w:cs="Arial"/>
                <w:sz w:val="18"/>
                <w:szCs w:val="18"/>
              </w:rPr>
              <w:t>Quarterly</w:t>
            </w:r>
          </w:p>
        </w:tc>
        <w:tc>
          <w:tcPr>
            <w:tcW w:w="1985" w:type="dxa"/>
          </w:tcPr>
          <w:p w14:paraId="4F6EAE9B" w14:textId="20AA6530" w:rsidR="00C408BE" w:rsidRPr="00082FCF" w:rsidRDefault="00C408BE" w:rsidP="00C408BE">
            <w:pPr>
              <w:rPr>
                <w:rFonts w:ascii="Arial" w:hAnsi="Arial" w:cs="Arial"/>
                <w:sz w:val="18"/>
                <w:szCs w:val="18"/>
              </w:rPr>
            </w:pPr>
            <w:r w:rsidRPr="00082FCF">
              <w:rPr>
                <w:rFonts w:ascii="Arial" w:hAnsi="Arial" w:cs="Arial"/>
                <w:sz w:val="18"/>
                <w:szCs w:val="18"/>
              </w:rPr>
              <w:t>PCMH Portal (Report Center):</w:t>
            </w:r>
          </w:p>
          <w:p w14:paraId="642D5AA1" w14:textId="77777777" w:rsidR="00C408BE" w:rsidRPr="00082FCF" w:rsidRDefault="00C408BE" w:rsidP="00C408BE">
            <w:pPr>
              <w:rPr>
                <w:rFonts w:ascii="Arial" w:hAnsi="Arial" w:cs="Arial"/>
                <w:sz w:val="18"/>
                <w:szCs w:val="18"/>
              </w:rPr>
            </w:pPr>
          </w:p>
          <w:p w14:paraId="598E4DD7" w14:textId="43F8ACEB" w:rsidR="00C408BE" w:rsidRPr="00082FCF" w:rsidRDefault="00C408BE" w:rsidP="00C408BE">
            <w:pPr>
              <w:rPr>
                <w:rFonts w:ascii="Arial" w:hAnsi="Arial" w:cs="Arial"/>
                <w:sz w:val="18"/>
                <w:szCs w:val="18"/>
              </w:rPr>
            </w:pPr>
            <w:r w:rsidRPr="00082FCF">
              <w:rPr>
                <w:rFonts w:ascii="Arial" w:hAnsi="Arial" w:cs="Arial"/>
                <w:sz w:val="18"/>
                <w:szCs w:val="18"/>
              </w:rPr>
              <w:t>D</w:t>
            </w:r>
            <w:r w:rsidR="00DB7BFF" w:rsidRPr="00082FCF">
              <w:rPr>
                <w:rFonts w:ascii="Arial" w:hAnsi="Arial" w:cs="Arial"/>
                <w:sz w:val="18"/>
                <w:szCs w:val="18"/>
              </w:rPr>
              <w:t>H</w:t>
            </w:r>
            <w:r w:rsidRPr="00082FCF">
              <w:rPr>
                <w:rFonts w:ascii="Arial" w:hAnsi="Arial" w:cs="Arial"/>
                <w:sz w:val="18"/>
                <w:szCs w:val="18"/>
              </w:rPr>
              <w:t>S, PCMH Providers</w:t>
            </w:r>
          </w:p>
        </w:tc>
      </w:tr>
      <w:tr w:rsidR="00C408BE" w:rsidRPr="00082FCF" w14:paraId="334FA037" w14:textId="41FED2A8" w:rsidTr="003235C7">
        <w:trPr>
          <w:trHeight w:val="250"/>
        </w:trPr>
        <w:tc>
          <w:tcPr>
            <w:tcW w:w="985" w:type="dxa"/>
          </w:tcPr>
          <w:p w14:paraId="66594475" w14:textId="10C21A3A"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09A43524" w14:textId="0174D80C" w:rsidR="00C408BE" w:rsidRPr="00082FCF" w:rsidRDefault="00C408BE" w:rsidP="00C408BE">
            <w:pPr>
              <w:rPr>
                <w:rFonts w:ascii="Arial" w:hAnsi="Arial" w:cs="Arial"/>
                <w:sz w:val="18"/>
                <w:szCs w:val="18"/>
              </w:rPr>
            </w:pPr>
            <w:r w:rsidRPr="00082FCF">
              <w:rPr>
                <w:rFonts w:ascii="Arial" w:hAnsi="Arial" w:cs="Arial"/>
                <w:sz w:val="18"/>
                <w:szCs w:val="18"/>
              </w:rPr>
              <w:t>Year-End Analysis</w:t>
            </w:r>
          </w:p>
        </w:tc>
        <w:tc>
          <w:tcPr>
            <w:tcW w:w="3240" w:type="dxa"/>
          </w:tcPr>
          <w:p w14:paraId="7B976A7C" w14:textId="7A9107F1" w:rsidR="00C408BE" w:rsidRPr="00082FCF" w:rsidRDefault="00C408BE" w:rsidP="00C408BE">
            <w:pPr>
              <w:rPr>
                <w:rFonts w:ascii="Arial" w:hAnsi="Arial" w:cs="Arial"/>
                <w:sz w:val="18"/>
                <w:szCs w:val="18"/>
              </w:rPr>
            </w:pPr>
            <w:r w:rsidRPr="00082FCF">
              <w:rPr>
                <w:rFonts w:ascii="Arial" w:hAnsi="Arial" w:cs="Arial"/>
                <w:sz w:val="18"/>
                <w:szCs w:val="18"/>
              </w:rPr>
              <w:t>Year-end analysis is a presentation of PCMH’s preliminary and final performance overview. Cost analysis and graphics include controlling the cost of care represented as total cost of care, coordination payments to providers and net cost spending. Overview demonstrates risk-adjusted medical cost per capita compared to benchmark tend for practices enrolled and not enrolled in PCMH. Presentation provides the percentage of eligible beneficiaries, PCPs, and practices enrolled in 2014 compared to reported program year. Also, shows relative improvement between reporting program year and previous reporting program year for hospitalizations and emergency room visits as possible contributing factors to total cost of care. Metric graphics include relative percentage and absolute change in Quality and Core metrics between reporting program year and previous reporting program year and eCQM distributions.</w:t>
            </w:r>
          </w:p>
        </w:tc>
        <w:tc>
          <w:tcPr>
            <w:tcW w:w="1170" w:type="dxa"/>
          </w:tcPr>
          <w:p w14:paraId="7ADD1107" w14:textId="5CF669E6" w:rsidR="00C408BE" w:rsidRPr="00D644E4" w:rsidRDefault="00D547E4" w:rsidP="00D644E4">
            <w:pPr>
              <w:rPr>
                <w:rFonts w:ascii="Arial" w:hAnsi="Arial" w:cs="Arial"/>
                <w:sz w:val="18"/>
                <w:szCs w:val="18"/>
              </w:rPr>
            </w:pPr>
            <w:r w:rsidRPr="00D644E4">
              <w:rPr>
                <w:rFonts w:ascii="Arial" w:hAnsi="Arial" w:cs="Arial"/>
                <w:sz w:val="18"/>
                <w:szCs w:val="18"/>
              </w:rPr>
              <w:t>PDF</w:t>
            </w:r>
          </w:p>
        </w:tc>
        <w:tc>
          <w:tcPr>
            <w:tcW w:w="1890" w:type="dxa"/>
          </w:tcPr>
          <w:p w14:paraId="3C1C36E7"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0DE32EA9" w14:textId="2173019A"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DHS authorized vendors</w:t>
            </w:r>
          </w:p>
        </w:tc>
        <w:tc>
          <w:tcPr>
            <w:tcW w:w="1630" w:type="dxa"/>
          </w:tcPr>
          <w:p w14:paraId="541147F0" w14:textId="77777777" w:rsidR="00C408BE" w:rsidRPr="00082FCF" w:rsidRDefault="00C408BE" w:rsidP="00C408BE">
            <w:pPr>
              <w:rPr>
                <w:rFonts w:ascii="Arial" w:hAnsi="Arial" w:cs="Arial"/>
                <w:sz w:val="18"/>
                <w:szCs w:val="18"/>
              </w:rPr>
            </w:pPr>
            <w:r w:rsidRPr="00082FCF">
              <w:rPr>
                <w:rFonts w:ascii="Arial" w:hAnsi="Arial" w:cs="Arial"/>
                <w:sz w:val="18"/>
                <w:szCs w:val="18"/>
              </w:rPr>
              <w:t>Bi-annual</w:t>
            </w:r>
          </w:p>
          <w:p w14:paraId="5F81B946" w14:textId="3601979B" w:rsidR="00C408BE" w:rsidRPr="00082FCF" w:rsidRDefault="00C408BE" w:rsidP="00C408BE">
            <w:pPr>
              <w:rPr>
                <w:rFonts w:ascii="Arial" w:hAnsi="Arial" w:cs="Arial"/>
                <w:sz w:val="18"/>
                <w:szCs w:val="18"/>
              </w:rPr>
            </w:pPr>
            <w:r w:rsidRPr="00082FCF">
              <w:rPr>
                <w:rFonts w:ascii="Arial" w:hAnsi="Arial" w:cs="Arial"/>
                <w:sz w:val="18"/>
                <w:szCs w:val="18"/>
              </w:rPr>
              <w:t>(1</w:t>
            </w:r>
            <w:r w:rsidRPr="00082FCF">
              <w:rPr>
                <w:rFonts w:ascii="Arial" w:hAnsi="Arial" w:cs="Arial"/>
                <w:sz w:val="18"/>
                <w:szCs w:val="18"/>
                <w:vertAlign w:val="superscript"/>
              </w:rPr>
              <w:t>st</w:t>
            </w:r>
            <w:r w:rsidRPr="00082FCF">
              <w:rPr>
                <w:rFonts w:ascii="Arial" w:hAnsi="Arial" w:cs="Arial"/>
                <w:sz w:val="18"/>
                <w:szCs w:val="18"/>
              </w:rPr>
              <w:t xml:space="preserve"> &amp; 3</w:t>
            </w:r>
            <w:r w:rsidRPr="00082FCF">
              <w:rPr>
                <w:rFonts w:ascii="Arial" w:hAnsi="Arial" w:cs="Arial"/>
                <w:sz w:val="18"/>
                <w:szCs w:val="18"/>
                <w:vertAlign w:val="superscript"/>
              </w:rPr>
              <w:t>rd</w:t>
            </w:r>
            <w:r w:rsidRPr="00082FCF">
              <w:rPr>
                <w:rFonts w:ascii="Arial" w:hAnsi="Arial" w:cs="Arial"/>
                <w:sz w:val="18"/>
                <w:szCs w:val="18"/>
              </w:rPr>
              <w:t xml:space="preserve"> quarter)</w:t>
            </w:r>
          </w:p>
        </w:tc>
        <w:tc>
          <w:tcPr>
            <w:tcW w:w="1985" w:type="dxa"/>
          </w:tcPr>
          <w:p w14:paraId="7621F1D8" w14:textId="77777777" w:rsidR="00C408BE" w:rsidRPr="00082FCF" w:rsidRDefault="00C408BE" w:rsidP="00C408BE">
            <w:pPr>
              <w:rPr>
                <w:rFonts w:ascii="Arial" w:hAnsi="Arial" w:cs="Arial"/>
                <w:sz w:val="18"/>
                <w:szCs w:val="18"/>
              </w:rPr>
            </w:pPr>
            <w:r w:rsidRPr="00082FCF">
              <w:rPr>
                <w:rFonts w:ascii="Arial" w:hAnsi="Arial" w:cs="Arial"/>
                <w:sz w:val="18"/>
                <w:szCs w:val="18"/>
              </w:rPr>
              <w:t xml:space="preserve">Email: </w:t>
            </w:r>
          </w:p>
          <w:p w14:paraId="0EAD8EE5" w14:textId="5B89276B" w:rsidR="00C408BE" w:rsidRPr="00082FCF" w:rsidRDefault="00C408BE" w:rsidP="00C408BE">
            <w:pPr>
              <w:rPr>
                <w:rFonts w:ascii="Arial" w:hAnsi="Arial" w:cs="Arial"/>
                <w:sz w:val="18"/>
                <w:szCs w:val="18"/>
              </w:rPr>
            </w:pPr>
            <w:r w:rsidRPr="00082FCF">
              <w:rPr>
                <w:rFonts w:ascii="Arial" w:hAnsi="Arial" w:cs="Arial"/>
                <w:sz w:val="18"/>
                <w:szCs w:val="18"/>
              </w:rPr>
              <w:t>D</w:t>
            </w:r>
            <w:r w:rsidR="00DB7BFF" w:rsidRPr="00082FCF">
              <w:rPr>
                <w:rFonts w:ascii="Arial" w:hAnsi="Arial" w:cs="Arial"/>
                <w:sz w:val="18"/>
                <w:szCs w:val="18"/>
              </w:rPr>
              <w:t>H</w:t>
            </w:r>
            <w:r w:rsidRPr="00082FCF">
              <w:rPr>
                <w:rFonts w:ascii="Arial" w:hAnsi="Arial" w:cs="Arial"/>
                <w:sz w:val="18"/>
                <w:szCs w:val="18"/>
              </w:rPr>
              <w:t xml:space="preserve">S, </w:t>
            </w:r>
            <w:r w:rsidR="00DB7BFF" w:rsidRPr="00082FCF">
              <w:rPr>
                <w:rFonts w:ascii="Arial" w:hAnsi="Arial" w:cs="Arial"/>
                <w:sz w:val="18"/>
                <w:szCs w:val="18"/>
              </w:rPr>
              <w:t xml:space="preserve">analytics vendor </w:t>
            </w:r>
          </w:p>
        </w:tc>
      </w:tr>
      <w:tr w:rsidR="00C408BE" w:rsidRPr="00082FCF" w14:paraId="1DA986D5" w14:textId="514943EC" w:rsidTr="003235C7">
        <w:trPr>
          <w:trHeight w:val="250"/>
        </w:trPr>
        <w:tc>
          <w:tcPr>
            <w:tcW w:w="985" w:type="dxa"/>
          </w:tcPr>
          <w:p w14:paraId="59C2A1EF" w14:textId="0BA65BFE" w:rsidR="00C408BE" w:rsidRPr="00082FCF" w:rsidRDefault="00C408BE" w:rsidP="00C408BE">
            <w:pPr>
              <w:rPr>
                <w:rFonts w:ascii="Arial" w:hAnsi="Arial" w:cs="Arial"/>
                <w:sz w:val="18"/>
                <w:szCs w:val="18"/>
              </w:rPr>
            </w:pPr>
            <w:r w:rsidRPr="00082FCF">
              <w:rPr>
                <w:rFonts w:ascii="Arial" w:hAnsi="Arial" w:cs="Arial"/>
                <w:sz w:val="18"/>
                <w:szCs w:val="18"/>
              </w:rPr>
              <w:t>PCMH</w:t>
            </w:r>
          </w:p>
        </w:tc>
        <w:tc>
          <w:tcPr>
            <w:tcW w:w="2160" w:type="dxa"/>
          </w:tcPr>
          <w:p w14:paraId="1ACB317B" w14:textId="0823E51C" w:rsidR="00C408BE" w:rsidRPr="00082FCF" w:rsidRDefault="00C408BE" w:rsidP="00C408BE">
            <w:pPr>
              <w:rPr>
                <w:rFonts w:ascii="Arial" w:hAnsi="Arial" w:cs="Arial"/>
                <w:sz w:val="18"/>
                <w:szCs w:val="18"/>
              </w:rPr>
            </w:pPr>
            <w:r w:rsidRPr="00082FCF">
              <w:rPr>
                <w:rFonts w:ascii="Arial" w:hAnsi="Arial" w:cs="Arial"/>
                <w:sz w:val="18"/>
                <w:szCs w:val="18"/>
              </w:rPr>
              <w:t>Annual Metric Target Setting and Metric Selection</w:t>
            </w:r>
          </w:p>
        </w:tc>
        <w:tc>
          <w:tcPr>
            <w:tcW w:w="3240" w:type="dxa"/>
          </w:tcPr>
          <w:p w14:paraId="0036057E" w14:textId="37BA1F05" w:rsidR="00C408BE" w:rsidRPr="00082FCF" w:rsidRDefault="00C408BE" w:rsidP="00C408BE">
            <w:pPr>
              <w:rPr>
                <w:rFonts w:ascii="Arial" w:hAnsi="Arial" w:cs="Arial"/>
                <w:sz w:val="18"/>
                <w:szCs w:val="18"/>
              </w:rPr>
            </w:pPr>
            <w:r w:rsidRPr="00082FCF">
              <w:rPr>
                <w:rFonts w:ascii="Arial" w:hAnsi="Arial" w:cs="Arial"/>
                <w:sz w:val="18"/>
                <w:szCs w:val="18"/>
              </w:rPr>
              <w:t xml:space="preserve">Metric target setting and metric selection is a presentation to recommend retired metrics, moved metrics and metric targets for new PCMH program year. Data analysis provides recommendations on which metrics should be modified for the next performance period. Historical comparison of targets </w:t>
            </w:r>
            <w:r w:rsidR="00DB7BFF" w:rsidRPr="00082FCF">
              <w:rPr>
                <w:rFonts w:ascii="Arial" w:hAnsi="Arial" w:cs="Arial"/>
                <w:sz w:val="18"/>
                <w:szCs w:val="18"/>
              </w:rPr>
              <w:t>is</w:t>
            </w:r>
            <w:r w:rsidRPr="00082FCF">
              <w:rPr>
                <w:rFonts w:ascii="Arial" w:hAnsi="Arial" w:cs="Arial"/>
                <w:sz w:val="18"/>
                <w:szCs w:val="18"/>
              </w:rPr>
              <w:t xml:space="preserve"> provided along with graphics representing </w:t>
            </w:r>
            <w:r w:rsidRPr="00082FCF">
              <w:rPr>
                <w:rFonts w:ascii="Arial" w:hAnsi="Arial" w:cs="Arial"/>
                <w:sz w:val="18"/>
                <w:szCs w:val="18"/>
              </w:rPr>
              <w:lastRenderedPageBreak/>
              <w:t>delta to target on future and current metrics at the PCMH and Pool levels. Detailed metric distributions are included at the PCMH and Pool levels for non-Informational metrics. Also, includes metric descriptions, proposed updated logic on existing metrics and proposed new metrics.</w:t>
            </w:r>
          </w:p>
        </w:tc>
        <w:tc>
          <w:tcPr>
            <w:tcW w:w="1170" w:type="dxa"/>
          </w:tcPr>
          <w:p w14:paraId="337D6307" w14:textId="3998E57D" w:rsidR="00C408BE" w:rsidRPr="00D644E4" w:rsidRDefault="00D547E4" w:rsidP="00D644E4">
            <w:pPr>
              <w:rPr>
                <w:rFonts w:ascii="Arial" w:hAnsi="Arial" w:cs="Arial"/>
                <w:sz w:val="18"/>
                <w:szCs w:val="18"/>
              </w:rPr>
            </w:pPr>
            <w:r w:rsidRPr="00D644E4">
              <w:rPr>
                <w:rFonts w:ascii="Arial" w:hAnsi="Arial" w:cs="Arial"/>
                <w:sz w:val="18"/>
                <w:szCs w:val="18"/>
              </w:rPr>
              <w:lastRenderedPageBreak/>
              <w:t>XSLX</w:t>
            </w:r>
          </w:p>
        </w:tc>
        <w:tc>
          <w:tcPr>
            <w:tcW w:w="1890" w:type="dxa"/>
          </w:tcPr>
          <w:p w14:paraId="0C2BF3CA" w14:textId="77777777" w:rsidR="00C408BE" w:rsidRPr="00082FCF" w:rsidRDefault="00C408BE" w:rsidP="00C408BE">
            <w:pPr>
              <w:pStyle w:val="ListParagraph"/>
              <w:numPr>
                <w:ilvl w:val="0"/>
                <w:numId w:val="1"/>
              </w:numPr>
              <w:rPr>
                <w:rFonts w:ascii="Arial" w:hAnsi="Arial" w:cs="Arial"/>
                <w:sz w:val="18"/>
                <w:szCs w:val="18"/>
              </w:rPr>
            </w:pPr>
            <w:r w:rsidRPr="00082FCF">
              <w:rPr>
                <w:rFonts w:ascii="Arial" w:hAnsi="Arial" w:cs="Arial"/>
                <w:sz w:val="18"/>
                <w:szCs w:val="18"/>
              </w:rPr>
              <w:t>DMS</w:t>
            </w:r>
          </w:p>
          <w:p w14:paraId="6C4CDC7B" w14:textId="0D344C3A" w:rsidR="00C408BE" w:rsidRPr="00082FCF" w:rsidRDefault="00C408BE" w:rsidP="00C408BE">
            <w:pPr>
              <w:rPr>
                <w:rFonts w:ascii="Arial" w:hAnsi="Arial" w:cs="Arial"/>
                <w:sz w:val="18"/>
                <w:szCs w:val="18"/>
              </w:rPr>
            </w:pPr>
            <w:r w:rsidRPr="00082FCF">
              <w:rPr>
                <w:rFonts w:ascii="Arial" w:hAnsi="Arial" w:cs="Arial"/>
                <w:sz w:val="18"/>
                <w:szCs w:val="18"/>
              </w:rPr>
              <w:t>DHS authorized vendors</w:t>
            </w:r>
          </w:p>
        </w:tc>
        <w:tc>
          <w:tcPr>
            <w:tcW w:w="1630" w:type="dxa"/>
          </w:tcPr>
          <w:p w14:paraId="2A5D0E40" w14:textId="77777777" w:rsidR="00C408BE" w:rsidRPr="00082FCF" w:rsidRDefault="00C408BE" w:rsidP="00C408BE">
            <w:pPr>
              <w:rPr>
                <w:rFonts w:ascii="Arial" w:hAnsi="Arial" w:cs="Arial"/>
                <w:sz w:val="18"/>
                <w:szCs w:val="18"/>
              </w:rPr>
            </w:pPr>
            <w:r w:rsidRPr="00082FCF">
              <w:rPr>
                <w:rFonts w:ascii="Arial" w:hAnsi="Arial" w:cs="Arial"/>
                <w:sz w:val="18"/>
                <w:szCs w:val="18"/>
              </w:rPr>
              <w:t xml:space="preserve">Annual </w:t>
            </w:r>
          </w:p>
          <w:p w14:paraId="5BB35A36" w14:textId="4EF878E1" w:rsidR="00C408BE" w:rsidRPr="00082FCF" w:rsidRDefault="00C408BE" w:rsidP="00C408BE">
            <w:pPr>
              <w:rPr>
                <w:rFonts w:ascii="Arial" w:hAnsi="Arial" w:cs="Arial"/>
                <w:sz w:val="18"/>
                <w:szCs w:val="18"/>
              </w:rPr>
            </w:pPr>
            <w:r w:rsidRPr="00082FCF">
              <w:rPr>
                <w:rFonts w:ascii="Arial" w:hAnsi="Arial" w:cs="Arial"/>
                <w:sz w:val="18"/>
                <w:szCs w:val="18"/>
              </w:rPr>
              <w:t>(3</w:t>
            </w:r>
            <w:r w:rsidRPr="00082FCF">
              <w:rPr>
                <w:rFonts w:ascii="Arial" w:hAnsi="Arial" w:cs="Arial"/>
                <w:sz w:val="18"/>
                <w:szCs w:val="18"/>
                <w:vertAlign w:val="superscript"/>
              </w:rPr>
              <w:t>rd</w:t>
            </w:r>
            <w:r w:rsidRPr="00082FCF">
              <w:rPr>
                <w:rFonts w:ascii="Arial" w:hAnsi="Arial" w:cs="Arial"/>
                <w:sz w:val="18"/>
                <w:szCs w:val="18"/>
              </w:rPr>
              <w:t xml:space="preserve"> quarter prior to new PCMH program year)</w:t>
            </w:r>
          </w:p>
        </w:tc>
        <w:tc>
          <w:tcPr>
            <w:tcW w:w="1985" w:type="dxa"/>
          </w:tcPr>
          <w:p w14:paraId="2D423B90" w14:textId="77777777" w:rsidR="00C408BE" w:rsidRPr="00082FCF" w:rsidRDefault="00C408BE" w:rsidP="00C408BE">
            <w:pPr>
              <w:rPr>
                <w:rFonts w:ascii="Arial" w:hAnsi="Arial" w:cs="Arial"/>
                <w:sz w:val="18"/>
                <w:szCs w:val="18"/>
              </w:rPr>
            </w:pPr>
            <w:r w:rsidRPr="00082FCF">
              <w:rPr>
                <w:rFonts w:ascii="Arial" w:hAnsi="Arial" w:cs="Arial"/>
                <w:sz w:val="18"/>
                <w:szCs w:val="18"/>
              </w:rPr>
              <w:t xml:space="preserve">Email: </w:t>
            </w:r>
          </w:p>
          <w:p w14:paraId="0A98A974" w14:textId="16640EFF" w:rsidR="00C408BE" w:rsidRPr="00082FCF" w:rsidRDefault="00C408BE" w:rsidP="00C408BE">
            <w:pPr>
              <w:rPr>
                <w:rFonts w:ascii="Arial" w:hAnsi="Arial" w:cs="Arial"/>
                <w:sz w:val="18"/>
                <w:szCs w:val="18"/>
              </w:rPr>
            </w:pPr>
            <w:r w:rsidRPr="00082FCF">
              <w:rPr>
                <w:rFonts w:ascii="Arial" w:hAnsi="Arial" w:cs="Arial"/>
                <w:sz w:val="18"/>
                <w:szCs w:val="18"/>
              </w:rPr>
              <w:t>D</w:t>
            </w:r>
            <w:r w:rsidR="00DB7BFF" w:rsidRPr="00082FCF">
              <w:rPr>
                <w:rFonts w:ascii="Arial" w:hAnsi="Arial" w:cs="Arial"/>
                <w:sz w:val="18"/>
                <w:szCs w:val="18"/>
              </w:rPr>
              <w:t>H</w:t>
            </w:r>
            <w:r w:rsidRPr="00082FCF">
              <w:rPr>
                <w:rFonts w:ascii="Arial" w:hAnsi="Arial" w:cs="Arial"/>
                <w:sz w:val="18"/>
                <w:szCs w:val="18"/>
              </w:rPr>
              <w:t xml:space="preserve">S, </w:t>
            </w:r>
            <w:r w:rsidR="00DB7BFF" w:rsidRPr="00082FCF">
              <w:rPr>
                <w:rFonts w:ascii="Arial" w:hAnsi="Arial" w:cs="Arial"/>
                <w:sz w:val="18"/>
                <w:szCs w:val="18"/>
              </w:rPr>
              <w:t xml:space="preserve">analytics vendor </w:t>
            </w:r>
          </w:p>
        </w:tc>
      </w:tr>
    </w:tbl>
    <w:p w14:paraId="2E1EF4ED" w14:textId="77777777" w:rsidR="00F82608" w:rsidRPr="00082FCF" w:rsidRDefault="00986212">
      <w:pPr>
        <w:rPr>
          <w:rFonts w:ascii="Arial" w:hAnsi="Arial" w:cs="Arial"/>
          <w:sz w:val="18"/>
          <w:szCs w:val="18"/>
        </w:rPr>
      </w:pPr>
    </w:p>
    <w:p w14:paraId="4E24F9E3" w14:textId="6D65D58F" w:rsidR="00EE0D09" w:rsidRPr="00082FCF" w:rsidRDefault="00B30406">
      <w:pPr>
        <w:rPr>
          <w:rFonts w:ascii="Arial" w:hAnsi="Arial" w:cs="Arial"/>
        </w:rPr>
      </w:pPr>
      <w:r w:rsidRPr="00082FCF">
        <w:rPr>
          <w:rFonts w:ascii="Arial" w:hAnsi="Arial" w:cs="Arial"/>
        </w:rPr>
        <w:t xml:space="preserve">**Note: Access to Exports/Dashboards </w:t>
      </w:r>
      <w:r w:rsidR="000B1AC5" w:rsidRPr="00082FCF">
        <w:rPr>
          <w:rFonts w:ascii="Arial" w:hAnsi="Arial" w:cs="Arial"/>
        </w:rPr>
        <w:t>is role based</w:t>
      </w:r>
      <w:r w:rsidR="005C0B10" w:rsidRPr="00082FCF">
        <w:rPr>
          <w:rFonts w:ascii="Arial" w:hAnsi="Arial" w:cs="Arial"/>
        </w:rPr>
        <w:t xml:space="preserve">. </w:t>
      </w:r>
      <w:r w:rsidR="00FB753B" w:rsidRPr="00082FCF">
        <w:rPr>
          <w:rFonts w:ascii="Arial" w:hAnsi="Arial" w:cs="Arial"/>
        </w:rPr>
        <w:t>Administrative organizations (D</w:t>
      </w:r>
      <w:r w:rsidR="002700D9" w:rsidRPr="00082FCF">
        <w:rPr>
          <w:rFonts w:ascii="Arial" w:hAnsi="Arial" w:cs="Arial"/>
        </w:rPr>
        <w:t xml:space="preserve">HS, </w:t>
      </w:r>
      <w:r w:rsidR="00A22074" w:rsidRPr="00082FCF">
        <w:rPr>
          <w:rFonts w:ascii="Arial" w:hAnsi="Arial" w:cs="Arial"/>
        </w:rPr>
        <w:t>DHS authorized vendors as approved</w:t>
      </w:r>
      <w:r w:rsidR="00FB753B" w:rsidRPr="00082FCF">
        <w:rPr>
          <w:rFonts w:ascii="Arial" w:hAnsi="Arial" w:cs="Arial"/>
        </w:rPr>
        <w:t>) have access to all PCMH providers. PCMH organizations are limited to approved organizations only.</w:t>
      </w:r>
      <w:r w:rsidR="00EE0D09" w:rsidRPr="00082FCF">
        <w:rPr>
          <w:rFonts w:ascii="Arial" w:hAnsi="Arial" w:cs="Arial"/>
        </w:rPr>
        <w:br w:type="page"/>
      </w:r>
    </w:p>
    <w:p w14:paraId="4449D7A7" w14:textId="2D92F0A6" w:rsidR="00E37577" w:rsidRPr="00082FCF" w:rsidRDefault="00E37577">
      <w:pPr>
        <w:rPr>
          <w:b/>
          <w:bCs/>
        </w:rPr>
      </w:pPr>
      <w:r w:rsidRPr="00082FCF">
        <w:rPr>
          <w:b/>
          <w:bCs/>
        </w:rPr>
        <w:lastRenderedPageBreak/>
        <w:t>Patient Panel Export/Dashboard Mock-up</w:t>
      </w:r>
    </w:p>
    <w:p w14:paraId="7926C9B2" w14:textId="644BFBDF" w:rsidR="00E37577" w:rsidRPr="00082FCF" w:rsidRDefault="005D2958">
      <w:pPr>
        <w:rPr>
          <w:b/>
          <w:bCs/>
        </w:rPr>
      </w:pPr>
      <w:r w:rsidRPr="00082FCF">
        <w:rPr>
          <w:noProof/>
        </w:rPr>
        <w:drawing>
          <wp:inline distT="0" distB="0" distL="0" distR="0" wp14:anchorId="520A76D9" wp14:editId="767E3EB1">
            <wp:extent cx="5968365" cy="2822575"/>
            <wp:effectExtent l="19050" t="19050" r="13335" b="15875"/>
            <wp:docPr id="24" name="Picture 2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 websit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365" cy="2822575"/>
                    </a:xfrm>
                    <a:prstGeom prst="rect">
                      <a:avLst/>
                    </a:prstGeom>
                    <a:noFill/>
                    <a:ln>
                      <a:solidFill>
                        <a:schemeClr val="accent6"/>
                      </a:solidFill>
                    </a:ln>
                  </pic:spPr>
                </pic:pic>
              </a:graphicData>
            </a:graphic>
          </wp:inline>
        </w:drawing>
      </w:r>
    </w:p>
    <w:p w14:paraId="3EA8C53E" w14:textId="77777777" w:rsidR="0023329F" w:rsidRPr="00082FCF" w:rsidRDefault="0023329F">
      <w:pPr>
        <w:rPr>
          <w:b/>
          <w:bCs/>
        </w:rPr>
      </w:pPr>
      <w:r w:rsidRPr="00082FCF">
        <w:rPr>
          <w:b/>
          <w:bCs/>
        </w:rPr>
        <w:br w:type="page"/>
      </w:r>
    </w:p>
    <w:p w14:paraId="669FD094" w14:textId="52D13345" w:rsidR="005D2958" w:rsidRPr="00082FCF" w:rsidRDefault="005D2958">
      <w:pPr>
        <w:rPr>
          <w:b/>
          <w:bCs/>
        </w:rPr>
      </w:pPr>
      <w:r w:rsidRPr="00082FCF">
        <w:rPr>
          <w:b/>
          <w:bCs/>
        </w:rPr>
        <w:lastRenderedPageBreak/>
        <w:t>Practice Support Activities Attestation Export/Dashboard Mock-up</w:t>
      </w:r>
    </w:p>
    <w:p w14:paraId="0FD0A832" w14:textId="77D12186" w:rsidR="0023329F" w:rsidRPr="00082FCF" w:rsidRDefault="0047668E">
      <w:pPr>
        <w:rPr>
          <w:b/>
          <w:bCs/>
        </w:rPr>
      </w:pPr>
      <w:r w:rsidRPr="00082FCF">
        <w:rPr>
          <w:b/>
          <w:bCs/>
          <w:noProof/>
        </w:rPr>
        <w:drawing>
          <wp:inline distT="0" distB="0" distL="0" distR="0" wp14:anchorId="2D000957" wp14:editId="3B22CDF6">
            <wp:extent cx="8229600" cy="5141595"/>
            <wp:effectExtent l="19050" t="19050" r="19050" b="2095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229600" cy="5141595"/>
                    </a:xfrm>
                    <a:prstGeom prst="rect">
                      <a:avLst/>
                    </a:prstGeom>
                    <a:ln>
                      <a:solidFill>
                        <a:schemeClr val="accent1"/>
                      </a:solidFill>
                    </a:ln>
                  </pic:spPr>
                </pic:pic>
              </a:graphicData>
            </a:graphic>
          </wp:inline>
        </w:drawing>
      </w:r>
      <w:r w:rsidR="0023329F" w:rsidRPr="00082FCF">
        <w:rPr>
          <w:b/>
          <w:bCs/>
        </w:rPr>
        <w:br w:type="page"/>
      </w:r>
    </w:p>
    <w:p w14:paraId="42F1692A" w14:textId="3E9EF9F8" w:rsidR="003B6D4E" w:rsidRPr="00082FCF" w:rsidRDefault="00EE0D09" w:rsidP="003235C7">
      <w:r w:rsidRPr="00082FCF">
        <w:rPr>
          <w:b/>
          <w:bCs/>
        </w:rPr>
        <w:lastRenderedPageBreak/>
        <w:t>High Priority Care Plan Validation Export/Dashboard Mock-up</w:t>
      </w:r>
      <w:r w:rsidRPr="00082FCF">
        <w:rPr>
          <w:noProof/>
        </w:rPr>
        <w:drawing>
          <wp:inline distT="0" distB="0" distL="0" distR="0" wp14:anchorId="4153634A" wp14:editId="5B818439">
            <wp:extent cx="6831330" cy="5149850"/>
            <wp:effectExtent l="19050" t="19050" r="26670" b="1270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4"/>
                    <a:stretch>
                      <a:fillRect/>
                    </a:stretch>
                  </pic:blipFill>
                  <pic:spPr>
                    <a:xfrm>
                      <a:off x="0" y="0"/>
                      <a:ext cx="6846093" cy="5160979"/>
                    </a:xfrm>
                    <a:prstGeom prst="rect">
                      <a:avLst/>
                    </a:prstGeom>
                    <a:ln>
                      <a:solidFill>
                        <a:schemeClr val="accent6"/>
                      </a:solidFill>
                    </a:ln>
                  </pic:spPr>
                </pic:pic>
              </a:graphicData>
            </a:graphic>
          </wp:inline>
        </w:drawing>
      </w:r>
    </w:p>
    <w:p w14:paraId="1310414A" w14:textId="77777777" w:rsidR="003235C7" w:rsidRDefault="003235C7">
      <w:pPr>
        <w:rPr>
          <w:b/>
          <w:bCs/>
        </w:rPr>
      </w:pPr>
      <w:r>
        <w:rPr>
          <w:b/>
          <w:bCs/>
        </w:rPr>
        <w:br w:type="page"/>
      </w:r>
    </w:p>
    <w:p w14:paraId="0BC7130E" w14:textId="7B7D5AC5" w:rsidR="004F48F1" w:rsidRPr="00082FCF" w:rsidRDefault="00B10DAF" w:rsidP="00B10DAF">
      <w:pPr>
        <w:rPr>
          <w:b/>
          <w:bCs/>
        </w:rPr>
      </w:pPr>
      <w:r w:rsidRPr="00082FCF">
        <w:rPr>
          <w:b/>
          <w:bCs/>
        </w:rPr>
        <w:lastRenderedPageBreak/>
        <w:t>Performance Based Incentive Payment (PBIP) Reconciliation Export/Dashboard Mock-up</w:t>
      </w:r>
    </w:p>
    <w:p w14:paraId="44E9DBC0" w14:textId="1B20C9D3" w:rsidR="0023329F" w:rsidRPr="00B10DAF" w:rsidRDefault="0023329F" w:rsidP="00B10DAF">
      <w:pPr>
        <w:rPr>
          <w:b/>
          <w:bCs/>
        </w:rPr>
      </w:pPr>
      <w:r w:rsidRPr="00082FCF">
        <w:rPr>
          <w:noProof/>
        </w:rPr>
        <w:drawing>
          <wp:inline distT="0" distB="0" distL="0" distR="0" wp14:anchorId="53EB6643" wp14:editId="39CA439E">
            <wp:extent cx="8194647" cy="3696986"/>
            <wp:effectExtent l="19050" t="19050" r="16510" b="1778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244706" cy="3719570"/>
                    </a:xfrm>
                    <a:prstGeom prst="rect">
                      <a:avLst/>
                    </a:prstGeom>
                    <a:noFill/>
                    <a:ln>
                      <a:solidFill>
                        <a:schemeClr val="accent6"/>
                      </a:solidFill>
                    </a:ln>
                  </pic:spPr>
                </pic:pic>
              </a:graphicData>
            </a:graphic>
          </wp:inline>
        </w:drawing>
      </w:r>
    </w:p>
    <w:sectPr w:rsidR="0023329F" w:rsidRPr="00B10DAF" w:rsidSect="00FB512A">
      <w:headerReference w:type="default" r:id="rId16"/>
      <w:headerReference w:type="first" r:id="rId17"/>
      <w:pgSz w:w="15840" w:h="12240" w:orient="landscape"/>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2C6A" w14:textId="77777777" w:rsidR="00986212" w:rsidRDefault="00986212" w:rsidP="00A22074">
      <w:pPr>
        <w:spacing w:after="0" w:line="240" w:lineRule="auto"/>
      </w:pPr>
      <w:r>
        <w:separator/>
      </w:r>
    </w:p>
  </w:endnote>
  <w:endnote w:type="continuationSeparator" w:id="0">
    <w:p w14:paraId="75D99B6B" w14:textId="77777777" w:rsidR="00986212" w:rsidRDefault="00986212" w:rsidP="00A2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2897" w14:textId="77777777" w:rsidR="00986212" w:rsidRDefault="00986212" w:rsidP="00A22074">
      <w:pPr>
        <w:spacing w:after="0" w:line="240" w:lineRule="auto"/>
      </w:pPr>
      <w:r>
        <w:separator/>
      </w:r>
    </w:p>
  </w:footnote>
  <w:footnote w:type="continuationSeparator" w:id="0">
    <w:p w14:paraId="46319370" w14:textId="77777777" w:rsidR="00986212" w:rsidRDefault="00986212" w:rsidP="00A2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2660" w14:textId="77777777" w:rsidR="003235C7" w:rsidRPr="00093098" w:rsidRDefault="003235C7" w:rsidP="003235C7">
    <w:pPr>
      <w:jc w:val="center"/>
      <w:rPr>
        <w:rFonts w:ascii="Arial" w:hAnsi="Arial" w:cs="Arial"/>
        <w:b/>
        <w:bCs/>
        <w:sz w:val="28"/>
        <w:szCs w:val="28"/>
      </w:rPr>
    </w:pPr>
    <w:r w:rsidRPr="00093098">
      <w:rPr>
        <w:rFonts w:ascii="Arial" w:hAnsi="Arial" w:cs="Arial"/>
        <w:b/>
        <w:bCs/>
        <w:sz w:val="28"/>
        <w:szCs w:val="28"/>
      </w:rPr>
      <w:t>APPENDIX 5</w:t>
    </w:r>
  </w:p>
  <w:p w14:paraId="5913EB9E" w14:textId="77777777" w:rsidR="003235C7" w:rsidRDefault="003235C7" w:rsidP="003235C7">
    <w:pPr>
      <w:spacing w:after="120"/>
      <w:jc w:val="center"/>
      <w:rPr>
        <w:rFonts w:ascii="Arial" w:hAnsi="Arial" w:cs="Arial"/>
        <w:b/>
        <w:bCs/>
        <w:sz w:val="28"/>
        <w:szCs w:val="28"/>
      </w:rPr>
    </w:pPr>
    <w:r w:rsidRPr="00093098">
      <w:rPr>
        <w:rFonts w:ascii="Arial" w:hAnsi="Arial" w:cs="Arial"/>
        <w:b/>
        <w:bCs/>
        <w:sz w:val="28"/>
        <w:szCs w:val="28"/>
      </w:rPr>
      <w:t>Portal Report Inventory</w:t>
    </w:r>
  </w:p>
  <w:p w14:paraId="6C42F5D2" w14:textId="77777777" w:rsidR="003235C7" w:rsidRPr="00093098" w:rsidRDefault="003235C7" w:rsidP="003235C7">
    <w:pPr>
      <w:spacing w:after="120"/>
      <w:jc w:val="center"/>
      <w:rPr>
        <w:rFonts w:ascii="Arial" w:hAnsi="Arial" w:cs="Arial"/>
        <w:b/>
        <w:bCs/>
        <w:sz w:val="28"/>
        <w:szCs w:val="28"/>
      </w:rPr>
    </w:pPr>
    <w:r>
      <w:rPr>
        <w:rFonts w:ascii="Arial" w:hAnsi="Arial" w:cs="Arial"/>
        <w:b/>
        <w:bCs/>
        <w:sz w:val="28"/>
        <w:szCs w:val="28"/>
      </w:rPr>
      <w:t>RFP 710-22-0034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88FE" w14:textId="77777777" w:rsidR="005B122E" w:rsidRPr="00093098" w:rsidRDefault="005B122E" w:rsidP="005B122E">
    <w:pPr>
      <w:jc w:val="center"/>
      <w:rPr>
        <w:rFonts w:ascii="Arial" w:hAnsi="Arial" w:cs="Arial"/>
        <w:b/>
        <w:bCs/>
        <w:sz w:val="28"/>
        <w:szCs w:val="28"/>
      </w:rPr>
    </w:pPr>
    <w:r w:rsidRPr="00093098">
      <w:rPr>
        <w:rFonts w:ascii="Arial" w:hAnsi="Arial" w:cs="Arial"/>
        <w:b/>
        <w:bCs/>
        <w:sz w:val="28"/>
        <w:szCs w:val="28"/>
      </w:rPr>
      <w:t>APPENDIX 5</w:t>
    </w:r>
  </w:p>
  <w:p w14:paraId="6BE93F01" w14:textId="484BF091" w:rsidR="005B122E" w:rsidRDefault="005B122E" w:rsidP="003235C7">
    <w:pPr>
      <w:spacing w:after="120"/>
      <w:jc w:val="center"/>
      <w:rPr>
        <w:rFonts w:ascii="Arial" w:hAnsi="Arial" w:cs="Arial"/>
        <w:b/>
        <w:bCs/>
        <w:sz w:val="28"/>
        <w:szCs w:val="28"/>
      </w:rPr>
    </w:pPr>
    <w:r w:rsidRPr="00093098">
      <w:rPr>
        <w:rFonts w:ascii="Arial" w:hAnsi="Arial" w:cs="Arial"/>
        <w:b/>
        <w:bCs/>
        <w:sz w:val="28"/>
        <w:szCs w:val="28"/>
      </w:rPr>
      <w:t>Portal Report Inventory</w:t>
    </w:r>
  </w:p>
  <w:p w14:paraId="2458B442" w14:textId="20AEBF6C" w:rsidR="003235C7" w:rsidRPr="00093098" w:rsidRDefault="003235C7" w:rsidP="003235C7">
    <w:pPr>
      <w:spacing w:after="120"/>
      <w:jc w:val="center"/>
      <w:rPr>
        <w:rFonts w:ascii="Arial" w:hAnsi="Arial" w:cs="Arial"/>
        <w:b/>
        <w:bCs/>
        <w:sz w:val="28"/>
        <w:szCs w:val="28"/>
      </w:rPr>
    </w:pPr>
    <w:r>
      <w:rPr>
        <w:rFonts w:ascii="Arial" w:hAnsi="Arial" w:cs="Arial"/>
        <w:b/>
        <w:bCs/>
        <w:sz w:val="28"/>
        <w:szCs w:val="28"/>
      </w:rPr>
      <w:t>RFP 710-22-0034</w:t>
    </w:r>
  </w:p>
  <w:p w14:paraId="1CF585C3" w14:textId="63F3E308" w:rsidR="00766EA0" w:rsidRPr="005B122E" w:rsidRDefault="00766EA0" w:rsidP="005B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D4C"/>
    <w:multiLevelType w:val="multilevel"/>
    <w:tmpl w:val="DFFC6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27576"/>
    <w:multiLevelType w:val="multilevel"/>
    <w:tmpl w:val="05B68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D4DA0"/>
    <w:multiLevelType w:val="multilevel"/>
    <w:tmpl w:val="7DFA7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B8180E"/>
    <w:multiLevelType w:val="hybridMultilevel"/>
    <w:tmpl w:val="86968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E3C6E"/>
    <w:multiLevelType w:val="multilevel"/>
    <w:tmpl w:val="F182D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14609"/>
    <w:multiLevelType w:val="multilevel"/>
    <w:tmpl w:val="2488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E6F5C"/>
    <w:multiLevelType w:val="hybridMultilevel"/>
    <w:tmpl w:val="B2C4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845EB6"/>
    <w:multiLevelType w:val="hybridMultilevel"/>
    <w:tmpl w:val="7D2A2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8E"/>
    <w:rsid w:val="00000511"/>
    <w:rsid w:val="00012F26"/>
    <w:rsid w:val="00023F68"/>
    <w:rsid w:val="000353D2"/>
    <w:rsid w:val="00082FCF"/>
    <w:rsid w:val="000B1AC5"/>
    <w:rsid w:val="000E4577"/>
    <w:rsid w:val="001058D5"/>
    <w:rsid w:val="001260AB"/>
    <w:rsid w:val="00131B30"/>
    <w:rsid w:val="00134B67"/>
    <w:rsid w:val="00146B31"/>
    <w:rsid w:val="001C6804"/>
    <w:rsid w:val="001E4B64"/>
    <w:rsid w:val="001F7C0C"/>
    <w:rsid w:val="00217A4C"/>
    <w:rsid w:val="00222893"/>
    <w:rsid w:val="00230AA1"/>
    <w:rsid w:val="0023329F"/>
    <w:rsid w:val="00235575"/>
    <w:rsid w:val="002700D9"/>
    <w:rsid w:val="00273B24"/>
    <w:rsid w:val="002E4783"/>
    <w:rsid w:val="0031107B"/>
    <w:rsid w:val="00315E83"/>
    <w:rsid w:val="003235C7"/>
    <w:rsid w:val="0035348F"/>
    <w:rsid w:val="00381EB0"/>
    <w:rsid w:val="00383DB2"/>
    <w:rsid w:val="003A1CB6"/>
    <w:rsid w:val="003B69DE"/>
    <w:rsid w:val="003B6D4E"/>
    <w:rsid w:val="004243E0"/>
    <w:rsid w:val="00432F4C"/>
    <w:rsid w:val="0047208E"/>
    <w:rsid w:val="0047668E"/>
    <w:rsid w:val="004866A8"/>
    <w:rsid w:val="004951CF"/>
    <w:rsid w:val="004B4CE4"/>
    <w:rsid w:val="004C7D92"/>
    <w:rsid w:val="004F22A6"/>
    <w:rsid w:val="004F30B3"/>
    <w:rsid w:val="004F48F1"/>
    <w:rsid w:val="00520049"/>
    <w:rsid w:val="00535854"/>
    <w:rsid w:val="005452D2"/>
    <w:rsid w:val="005466BD"/>
    <w:rsid w:val="005A6F7B"/>
    <w:rsid w:val="005B122E"/>
    <w:rsid w:val="005C0B10"/>
    <w:rsid w:val="005C67B0"/>
    <w:rsid w:val="005D2958"/>
    <w:rsid w:val="005E17E5"/>
    <w:rsid w:val="00614DBD"/>
    <w:rsid w:val="00665A52"/>
    <w:rsid w:val="00676AD3"/>
    <w:rsid w:val="00690406"/>
    <w:rsid w:val="006B2D50"/>
    <w:rsid w:val="006B4894"/>
    <w:rsid w:val="006D52CD"/>
    <w:rsid w:val="006E6DBD"/>
    <w:rsid w:val="006F521E"/>
    <w:rsid w:val="0070338F"/>
    <w:rsid w:val="0072674F"/>
    <w:rsid w:val="007324FF"/>
    <w:rsid w:val="00736CD8"/>
    <w:rsid w:val="00765052"/>
    <w:rsid w:val="00766EA0"/>
    <w:rsid w:val="00791A01"/>
    <w:rsid w:val="007F7474"/>
    <w:rsid w:val="00802982"/>
    <w:rsid w:val="00870C8A"/>
    <w:rsid w:val="00891D91"/>
    <w:rsid w:val="0089749C"/>
    <w:rsid w:val="008A7F05"/>
    <w:rsid w:val="008B28DE"/>
    <w:rsid w:val="008C321E"/>
    <w:rsid w:val="008E434C"/>
    <w:rsid w:val="00901004"/>
    <w:rsid w:val="00927CC4"/>
    <w:rsid w:val="00945442"/>
    <w:rsid w:val="00986212"/>
    <w:rsid w:val="009B19B3"/>
    <w:rsid w:val="009E19DF"/>
    <w:rsid w:val="009F0BF6"/>
    <w:rsid w:val="009F1A99"/>
    <w:rsid w:val="00A055F0"/>
    <w:rsid w:val="00A10517"/>
    <w:rsid w:val="00A15490"/>
    <w:rsid w:val="00A22074"/>
    <w:rsid w:val="00A34CE0"/>
    <w:rsid w:val="00A5558A"/>
    <w:rsid w:val="00A902E3"/>
    <w:rsid w:val="00A9243F"/>
    <w:rsid w:val="00A962D7"/>
    <w:rsid w:val="00AA3ED0"/>
    <w:rsid w:val="00AB6176"/>
    <w:rsid w:val="00AD6C65"/>
    <w:rsid w:val="00B10DAF"/>
    <w:rsid w:val="00B30406"/>
    <w:rsid w:val="00B45709"/>
    <w:rsid w:val="00B54970"/>
    <w:rsid w:val="00B61E67"/>
    <w:rsid w:val="00B67123"/>
    <w:rsid w:val="00B71CC5"/>
    <w:rsid w:val="00BC4C1C"/>
    <w:rsid w:val="00BC6427"/>
    <w:rsid w:val="00BD44F5"/>
    <w:rsid w:val="00BD5BF4"/>
    <w:rsid w:val="00C110FE"/>
    <w:rsid w:val="00C132CB"/>
    <w:rsid w:val="00C374AF"/>
    <w:rsid w:val="00C408BE"/>
    <w:rsid w:val="00C54A56"/>
    <w:rsid w:val="00C772AA"/>
    <w:rsid w:val="00C869F6"/>
    <w:rsid w:val="00CA0014"/>
    <w:rsid w:val="00CA0724"/>
    <w:rsid w:val="00CC65C6"/>
    <w:rsid w:val="00D0789D"/>
    <w:rsid w:val="00D227D0"/>
    <w:rsid w:val="00D547E4"/>
    <w:rsid w:val="00D56A60"/>
    <w:rsid w:val="00D644E4"/>
    <w:rsid w:val="00D7518E"/>
    <w:rsid w:val="00D97D6A"/>
    <w:rsid w:val="00DA1A19"/>
    <w:rsid w:val="00DB6053"/>
    <w:rsid w:val="00DB7197"/>
    <w:rsid w:val="00DB7BFF"/>
    <w:rsid w:val="00DD1B74"/>
    <w:rsid w:val="00DD3628"/>
    <w:rsid w:val="00DE353C"/>
    <w:rsid w:val="00DE4269"/>
    <w:rsid w:val="00DF5B2D"/>
    <w:rsid w:val="00E01B80"/>
    <w:rsid w:val="00E15CD4"/>
    <w:rsid w:val="00E37577"/>
    <w:rsid w:val="00E45689"/>
    <w:rsid w:val="00E819E2"/>
    <w:rsid w:val="00ED6007"/>
    <w:rsid w:val="00EE0D09"/>
    <w:rsid w:val="00EE107B"/>
    <w:rsid w:val="00EF09CD"/>
    <w:rsid w:val="00EF4A6F"/>
    <w:rsid w:val="00F01221"/>
    <w:rsid w:val="00F02892"/>
    <w:rsid w:val="00F02DE5"/>
    <w:rsid w:val="00F23FBE"/>
    <w:rsid w:val="00F24D60"/>
    <w:rsid w:val="00F43F18"/>
    <w:rsid w:val="00F73975"/>
    <w:rsid w:val="00F92E19"/>
    <w:rsid w:val="00FB2999"/>
    <w:rsid w:val="00FB512A"/>
    <w:rsid w:val="00FB753B"/>
    <w:rsid w:val="00FF1AAF"/>
    <w:rsid w:val="00FF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1DCD"/>
  <w15:chartTrackingRefBased/>
  <w15:docId w15:val="{0E65C346-AF59-433E-828E-DA458DBF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49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08E"/>
    <w:pPr>
      <w:ind w:left="720"/>
      <w:contextualSpacing/>
    </w:pPr>
  </w:style>
  <w:style w:type="paragraph" w:styleId="NormalWeb">
    <w:name w:val="Normal (Web)"/>
    <w:basedOn w:val="Normal"/>
    <w:uiPriority w:val="99"/>
    <w:unhideWhenUsed/>
    <w:rsid w:val="00F92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854"/>
    <w:rPr>
      <w:color w:val="0000FF"/>
      <w:u w:val="single"/>
    </w:rPr>
  </w:style>
  <w:style w:type="character" w:customStyle="1" w:styleId="Heading4Char">
    <w:name w:val="Heading 4 Char"/>
    <w:basedOn w:val="DefaultParagraphFont"/>
    <w:link w:val="Heading4"/>
    <w:uiPriority w:val="9"/>
    <w:rsid w:val="00B54970"/>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D44F5"/>
    <w:rPr>
      <w:sz w:val="16"/>
      <w:szCs w:val="16"/>
    </w:rPr>
  </w:style>
  <w:style w:type="paragraph" w:styleId="NoSpacing">
    <w:name w:val="No Spacing"/>
    <w:link w:val="NoSpacingChar"/>
    <w:uiPriority w:val="1"/>
    <w:qFormat/>
    <w:rsid w:val="00FB512A"/>
    <w:pPr>
      <w:spacing w:after="0" w:line="240" w:lineRule="auto"/>
    </w:pPr>
    <w:rPr>
      <w:rFonts w:eastAsiaTheme="minorEastAsia"/>
    </w:rPr>
  </w:style>
  <w:style w:type="character" w:customStyle="1" w:styleId="NoSpacingChar">
    <w:name w:val="No Spacing Char"/>
    <w:basedOn w:val="DefaultParagraphFont"/>
    <w:link w:val="NoSpacing"/>
    <w:uiPriority w:val="1"/>
    <w:rsid w:val="00FB512A"/>
    <w:rPr>
      <w:rFonts w:eastAsiaTheme="minorEastAsia"/>
    </w:rPr>
  </w:style>
  <w:style w:type="paragraph" w:styleId="CommentText">
    <w:name w:val="annotation text"/>
    <w:basedOn w:val="Normal"/>
    <w:link w:val="CommentTextChar"/>
    <w:uiPriority w:val="99"/>
    <w:semiHidden/>
    <w:unhideWhenUsed/>
    <w:rsid w:val="00D0789D"/>
    <w:pPr>
      <w:spacing w:line="240" w:lineRule="auto"/>
    </w:pPr>
    <w:rPr>
      <w:sz w:val="20"/>
      <w:szCs w:val="20"/>
    </w:rPr>
  </w:style>
  <w:style w:type="character" w:customStyle="1" w:styleId="CommentTextChar">
    <w:name w:val="Comment Text Char"/>
    <w:basedOn w:val="DefaultParagraphFont"/>
    <w:link w:val="CommentText"/>
    <w:uiPriority w:val="99"/>
    <w:semiHidden/>
    <w:rsid w:val="00D0789D"/>
    <w:rPr>
      <w:sz w:val="20"/>
      <w:szCs w:val="20"/>
    </w:rPr>
  </w:style>
  <w:style w:type="paragraph" w:styleId="CommentSubject">
    <w:name w:val="annotation subject"/>
    <w:basedOn w:val="CommentText"/>
    <w:next w:val="CommentText"/>
    <w:link w:val="CommentSubjectChar"/>
    <w:uiPriority w:val="99"/>
    <w:semiHidden/>
    <w:unhideWhenUsed/>
    <w:rsid w:val="00D0789D"/>
    <w:rPr>
      <w:b/>
      <w:bCs/>
    </w:rPr>
  </w:style>
  <w:style w:type="character" w:customStyle="1" w:styleId="CommentSubjectChar">
    <w:name w:val="Comment Subject Char"/>
    <w:basedOn w:val="CommentTextChar"/>
    <w:link w:val="CommentSubject"/>
    <w:uiPriority w:val="99"/>
    <w:semiHidden/>
    <w:rsid w:val="00D0789D"/>
    <w:rPr>
      <w:b/>
      <w:bCs/>
      <w:sz w:val="20"/>
      <w:szCs w:val="20"/>
    </w:rPr>
  </w:style>
  <w:style w:type="paragraph" w:styleId="Header">
    <w:name w:val="header"/>
    <w:basedOn w:val="Normal"/>
    <w:link w:val="HeaderChar"/>
    <w:uiPriority w:val="99"/>
    <w:unhideWhenUsed/>
    <w:rsid w:val="00A22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74"/>
  </w:style>
  <w:style w:type="paragraph" w:styleId="Footer">
    <w:name w:val="footer"/>
    <w:basedOn w:val="Normal"/>
    <w:link w:val="FooterChar"/>
    <w:uiPriority w:val="99"/>
    <w:unhideWhenUsed/>
    <w:rsid w:val="00A2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8232">
      <w:bodyDiv w:val="1"/>
      <w:marLeft w:val="0"/>
      <w:marRight w:val="0"/>
      <w:marTop w:val="0"/>
      <w:marBottom w:val="0"/>
      <w:divBdr>
        <w:top w:val="none" w:sz="0" w:space="0" w:color="auto"/>
        <w:left w:val="none" w:sz="0" w:space="0" w:color="auto"/>
        <w:bottom w:val="none" w:sz="0" w:space="0" w:color="auto"/>
        <w:right w:val="none" w:sz="0" w:space="0" w:color="auto"/>
      </w:divBdr>
      <w:divsChild>
        <w:div w:id="1897548879">
          <w:marLeft w:val="0"/>
          <w:marRight w:val="0"/>
          <w:marTop w:val="0"/>
          <w:marBottom w:val="0"/>
          <w:divBdr>
            <w:top w:val="none" w:sz="0" w:space="0" w:color="auto"/>
            <w:left w:val="none" w:sz="0" w:space="0" w:color="auto"/>
            <w:bottom w:val="none" w:sz="0" w:space="0" w:color="auto"/>
            <w:right w:val="none" w:sz="0" w:space="0" w:color="auto"/>
          </w:divBdr>
          <w:divsChild>
            <w:div w:id="1370911635">
              <w:marLeft w:val="0"/>
              <w:marRight w:val="0"/>
              <w:marTop w:val="0"/>
              <w:marBottom w:val="0"/>
              <w:divBdr>
                <w:top w:val="none" w:sz="0" w:space="0" w:color="auto"/>
                <w:left w:val="none" w:sz="0" w:space="0" w:color="auto"/>
                <w:bottom w:val="none" w:sz="0" w:space="0" w:color="auto"/>
                <w:right w:val="none" w:sz="0" w:space="0" w:color="auto"/>
              </w:divBdr>
              <w:divsChild>
                <w:div w:id="142550511">
                  <w:marLeft w:val="0"/>
                  <w:marRight w:val="0"/>
                  <w:marTop w:val="0"/>
                  <w:marBottom w:val="0"/>
                  <w:divBdr>
                    <w:top w:val="none" w:sz="0" w:space="0" w:color="auto"/>
                    <w:left w:val="none" w:sz="0" w:space="0" w:color="auto"/>
                    <w:bottom w:val="none" w:sz="0" w:space="0" w:color="auto"/>
                    <w:right w:val="none" w:sz="0" w:space="0" w:color="auto"/>
                  </w:divBdr>
                  <w:divsChild>
                    <w:div w:id="665091688">
                      <w:marLeft w:val="0"/>
                      <w:marRight w:val="0"/>
                      <w:marTop w:val="0"/>
                      <w:marBottom w:val="0"/>
                      <w:divBdr>
                        <w:top w:val="none" w:sz="0" w:space="0" w:color="auto"/>
                        <w:left w:val="none" w:sz="0" w:space="0" w:color="auto"/>
                        <w:bottom w:val="none" w:sz="0" w:space="0" w:color="auto"/>
                        <w:right w:val="none" w:sz="0" w:space="0" w:color="auto"/>
                      </w:divBdr>
                      <w:divsChild>
                        <w:div w:id="435751924">
                          <w:marLeft w:val="0"/>
                          <w:marRight w:val="0"/>
                          <w:marTop w:val="0"/>
                          <w:marBottom w:val="0"/>
                          <w:divBdr>
                            <w:top w:val="none" w:sz="0" w:space="0" w:color="auto"/>
                            <w:left w:val="none" w:sz="0" w:space="0" w:color="auto"/>
                            <w:bottom w:val="none" w:sz="0" w:space="0" w:color="auto"/>
                            <w:right w:val="none" w:sz="0" w:space="0" w:color="auto"/>
                          </w:divBdr>
                          <w:divsChild>
                            <w:div w:id="1737582049">
                              <w:marLeft w:val="0"/>
                              <w:marRight w:val="0"/>
                              <w:marTop w:val="0"/>
                              <w:marBottom w:val="0"/>
                              <w:divBdr>
                                <w:top w:val="none" w:sz="0" w:space="0" w:color="auto"/>
                                <w:left w:val="none" w:sz="0" w:space="0" w:color="auto"/>
                                <w:bottom w:val="none" w:sz="0" w:space="0" w:color="auto"/>
                                <w:right w:val="none" w:sz="0" w:space="0" w:color="auto"/>
                              </w:divBdr>
                              <w:divsChild>
                                <w:div w:id="1186750653">
                                  <w:marLeft w:val="0"/>
                                  <w:marRight w:val="0"/>
                                  <w:marTop w:val="0"/>
                                  <w:marBottom w:val="0"/>
                                  <w:divBdr>
                                    <w:top w:val="none" w:sz="0" w:space="0" w:color="auto"/>
                                    <w:left w:val="none" w:sz="0" w:space="0" w:color="auto"/>
                                    <w:bottom w:val="none" w:sz="0" w:space="0" w:color="auto"/>
                                    <w:right w:val="none" w:sz="0" w:space="0" w:color="auto"/>
                                  </w:divBdr>
                                  <w:divsChild>
                                    <w:div w:id="547644698">
                                      <w:marLeft w:val="0"/>
                                      <w:marRight w:val="0"/>
                                      <w:marTop w:val="0"/>
                                      <w:marBottom w:val="0"/>
                                      <w:divBdr>
                                        <w:top w:val="none" w:sz="0" w:space="0" w:color="auto"/>
                                        <w:left w:val="none" w:sz="0" w:space="0" w:color="auto"/>
                                        <w:bottom w:val="none" w:sz="0" w:space="0" w:color="auto"/>
                                        <w:right w:val="none" w:sz="0" w:space="0" w:color="auto"/>
                                      </w:divBdr>
                                      <w:divsChild>
                                        <w:div w:id="21329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71996">
      <w:bodyDiv w:val="1"/>
      <w:marLeft w:val="0"/>
      <w:marRight w:val="0"/>
      <w:marTop w:val="0"/>
      <w:marBottom w:val="0"/>
      <w:divBdr>
        <w:top w:val="none" w:sz="0" w:space="0" w:color="auto"/>
        <w:left w:val="none" w:sz="0" w:space="0" w:color="auto"/>
        <w:bottom w:val="none" w:sz="0" w:space="0" w:color="auto"/>
        <w:right w:val="none" w:sz="0" w:space="0" w:color="auto"/>
      </w:divBdr>
      <w:divsChild>
        <w:div w:id="238559374">
          <w:marLeft w:val="0"/>
          <w:marRight w:val="0"/>
          <w:marTop w:val="0"/>
          <w:marBottom w:val="0"/>
          <w:divBdr>
            <w:top w:val="none" w:sz="0" w:space="0" w:color="auto"/>
            <w:left w:val="none" w:sz="0" w:space="0" w:color="auto"/>
            <w:bottom w:val="none" w:sz="0" w:space="0" w:color="auto"/>
            <w:right w:val="none" w:sz="0" w:space="0" w:color="auto"/>
          </w:divBdr>
          <w:divsChild>
            <w:div w:id="262347411">
              <w:marLeft w:val="0"/>
              <w:marRight w:val="0"/>
              <w:marTop w:val="0"/>
              <w:marBottom w:val="0"/>
              <w:divBdr>
                <w:top w:val="none" w:sz="0" w:space="0" w:color="auto"/>
                <w:left w:val="none" w:sz="0" w:space="0" w:color="auto"/>
                <w:bottom w:val="none" w:sz="0" w:space="0" w:color="auto"/>
                <w:right w:val="none" w:sz="0" w:space="0" w:color="auto"/>
              </w:divBdr>
              <w:divsChild>
                <w:div w:id="1143933833">
                  <w:marLeft w:val="0"/>
                  <w:marRight w:val="0"/>
                  <w:marTop w:val="0"/>
                  <w:marBottom w:val="0"/>
                  <w:divBdr>
                    <w:top w:val="none" w:sz="0" w:space="0" w:color="auto"/>
                    <w:left w:val="none" w:sz="0" w:space="0" w:color="auto"/>
                    <w:bottom w:val="none" w:sz="0" w:space="0" w:color="auto"/>
                    <w:right w:val="none" w:sz="0" w:space="0" w:color="auto"/>
                  </w:divBdr>
                  <w:divsChild>
                    <w:div w:id="1911844350">
                      <w:marLeft w:val="0"/>
                      <w:marRight w:val="0"/>
                      <w:marTop w:val="0"/>
                      <w:marBottom w:val="0"/>
                      <w:divBdr>
                        <w:top w:val="none" w:sz="0" w:space="0" w:color="auto"/>
                        <w:left w:val="none" w:sz="0" w:space="0" w:color="auto"/>
                        <w:bottom w:val="none" w:sz="0" w:space="0" w:color="auto"/>
                        <w:right w:val="none" w:sz="0" w:space="0" w:color="auto"/>
                      </w:divBdr>
                      <w:divsChild>
                        <w:div w:id="757093762">
                          <w:marLeft w:val="0"/>
                          <w:marRight w:val="0"/>
                          <w:marTop w:val="0"/>
                          <w:marBottom w:val="0"/>
                          <w:divBdr>
                            <w:top w:val="none" w:sz="0" w:space="0" w:color="auto"/>
                            <w:left w:val="none" w:sz="0" w:space="0" w:color="auto"/>
                            <w:bottom w:val="none" w:sz="0" w:space="0" w:color="auto"/>
                            <w:right w:val="none" w:sz="0" w:space="0" w:color="auto"/>
                          </w:divBdr>
                          <w:divsChild>
                            <w:div w:id="998075064">
                              <w:marLeft w:val="0"/>
                              <w:marRight w:val="0"/>
                              <w:marTop w:val="0"/>
                              <w:marBottom w:val="0"/>
                              <w:divBdr>
                                <w:top w:val="none" w:sz="0" w:space="0" w:color="auto"/>
                                <w:left w:val="none" w:sz="0" w:space="0" w:color="auto"/>
                                <w:bottom w:val="none" w:sz="0" w:space="0" w:color="auto"/>
                                <w:right w:val="none" w:sz="0" w:space="0" w:color="auto"/>
                              </w:divBdr>
                              <w:divsChild>
                                <w:div w:id="8447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3280">
      <w:bodyDiv w:val="1"/>
      <w:marLeft w:val="0"/>
      <w:marRight w:val="0"/>
      <w:marTop w:val="0"/>
      <w:marBottom w:val="0"/>
      <w:divBdr>
        <w:top w:val="none" w:sz="0" w:space="0" w:color="auto"/>
        <w:left w:val="none" w:sz="0" w:space="0" w:color="auto"/>
        <w:bottom w:val="none" w:sz="0" w:space="0" w:color="auto"/>
        <w:right w:val="none" w:sz="0" w:space="0" w:color="auto"/>
      </w:divBdr>
      <w:divsChild>
        <w:div w:id="1409303466">
          <w:marLeft w:val="0"/>
          <w:marRight w:val="0"/>
          <w:marTop w:val="0"/>
          <w:marBottom w:val="0"/>
          <w:divBdr>
            <w:top w:val="none" w:sz="0" w:space="0" w:color="auto"/>
            <w:left w:val="none" w:sz="0" w:space="0" w:color="auto"/>
            <w:bottom w:val="none" w:sz="0" w:space="0" w:color="auto"/>
            <w:right w:val="none" w:sz="0" w:space="0" w:color="auto"/>
          </w:divBdr>
          <w:divsChild>
            <w:div w:id="1416049089">
              <w:marLeft w:val="0"/>
              <w:marRight w:val="0"/>
              <w:marTop w:val="0"/>
              <w:marBottom w:val="0"/>
              <w:divBdr>
                <w:top w:val="none" w:sz="0" w:space="0" w:color="auto"/>
                <w:left w:val="none" w:sz="0" w:space="0" w:color="auto"/>
                <w:bottom w:val="none" w:sz="0" w:space="0" w:color="auto"/>
                <w:right w:val="none" w:sz="0" w:space="0" w:color="auto"/>
              </w:divBdr>
              <w:divsChild>
                <w:div w:id="1968928408">
                  <w:marLeft w:val="0"/>
                  <w:marRight w:val="0"/>
                  <w:marTop w:val="0"/>
                  <w:marBottom w:val="0"/>
                  <w:divBdr>
                    <w:top w:val="none" w:sz="0" w:space="0" w:color="auto"/>
                    <w:left w:val="none" w:sz="0" w:space="0" w:color="auto"/>
                    <w:bottom w:val="none" w:sz="0" w:space="0" w:color="auto"/>
                    <w:right w:val="none" w:sz="0" w:space="0" w:color="auto"/>
                  </w:divBdr>
                  <w:divsChild>
                    <w:div w:id="665787754">
                      <w:marLeft w:val="0"/>
                      <w:marRight w:val="0"/>
                      <w:marTop w:val="0"/>
                      <w:marBottom w:val="0"/>
                      <w:divBdr>
                        <w:top w:val="none" w:sz="0" w:space="0" w:color="auto"/>
                        <w:left w:val="none" w:sz="0" w:space="0" w:color="auto"/>
                        <w:bottom w:val="none" w:sz="0" w:space="0" w:color="auto"/>
                        <w:right w:val="none" w:sz="0" w:space="0" w:color="auto"/>
                      </w:divBdr>
                      <w:divsChild>
                        <w:div w:id="500704790">
                          <w:marLeft w:val="0"/>
                          <w:marRight w:val="0"/>
                          <w:marTop w:val="0"/>
                          <w:marBottom w:val="0"/>
                          <w:divBdr>
                            <w:top w:val="none" w:sz="0" w:space="0" w:color="auto"/>
                            <w:left w:val="none" w:sz="0" w:space="0" w:color="auto"/>
                            <w:bottom w:val="none" w:sz="0" w:space="0" w:color="auto"/>
                            <w:right w:val="none" w:sz="0" w:space="0" w:color="auto"/>
                          </w:divBdr>
                          <w:divsChild>
                            <w:div w:id="1071543869">
                              <w:marLeft w:val="0"/>
                              <w:marRight w:val="0"/>
                              <w:marTop w:val="0"/>
                              <w:marBottom w:val="0"/>
                              <w:divBdr>
                                <w:top w:val="none" w:sz="0" w:space="0" w:color="auto"/>
                                <w:left w:val="none" w:sz="0" w:space="0" w:color="auto"/>
                                <w:bottom w:val="none" w:sz="0" w:space="0" w:color="auto"/>
                                <w:right w:val="none" w:sz="0" w:space="0" w:color="auto"/>
                              </w:divBdr>
                              <w:divsChild>
                                <w:div w:id="1939480123">
                                  <w:marLeft w:val="0"/>
                                  <w:marRight w:val="0"/>
                                  <w:marTop w:val="0"/>
                                  <w:marBottom w:val="0"/>
                                  <w:divBdr>
                                    <w:top w:val="none" w:sz="0" w:space="0" w:color="auto"/>
                                    <w:left w:val="none" w:sz="0" w:space="0" w:color="auto"/>
                                    <w:bottom w:val="none" w:sz="0" w:space="0" w:color="auto"/>
                                    <w:right w:val="none" w:sz="0" w:space="0" w:color="auto"/>
                                  </w:divBdr>
                                  <w:divsChild>
                                    <w:div w:id="1172261049">
                                      <w:marLeft w:val="0"/>
                                      <w:marRight w:val="0"/>
                                      <w:marTop w:val="0"/>
                                      <w:marBottom w:val="0"/>
                                      <w:divBdr>
                                        <w:top w:val="none" w:sz="0" w:space="0" w:color="auto"/>
                                        <w:left w:val="none" w:sz="0" w:space="0" w:color="auto"/>
                                        <w:bottom w:val="none" w:sz="0" w:space="0" w:color="auto"/>
                                        <w:right w:val="none" w:sz="0" w:space="0" w:color="auto"/>
                                      </w:divBdr>
                                      <w:divsChild>
                                        <w:div w:id="17959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525509">
      <w:bodyDiv w:val="1"/>
      <w:marLeft w:val="0"/>
      <w:marRight w:val="0"/>
      <w:marTop w:val="0"/>
      <w:marBottom w:val="0"/>
      <w:divBdr>
        <w:top w:val="none" w:sz="0" w:space="0" w:color="auto"/>
        <w:left w:val="none" w:sz="0" w:space="0" w:color="auto"/>
        <w:bottom w:val="none" w:sz="0" w:space="0" w:color="auto"/>
        <w:right w:val="none" w:sz="0" w:space="0" w:color="auto"/>
      </w:divBdr>
      <w:divsChild>
        <w:div w:id="699431544">
          <w:marLeft w:val="0"/>
          <w:marRight w:val="0"/>
          <w:marTop w:val="0"/>
          <w:marBottom w:val="0"/>
          <w:divBdr>
            <w:top w:val="none" w:sz="0" w:space="0" w:color="auto"/>
            <w:left w:val="none" w:sz="0" w:space="0" w:color="auto"/>
            <w:bottom w:val="none" w:sz="0" w:space="0" w:color="auto"/>
            <w:right w:val="none" w:sz="0" w:space="0" w:color="auto"/>
          </w:divBdr>
          <w:divsChild>
            <w:div w:id="561409576">
              <w:marLeft w:val="0"/>
              <w:marRight w:val="0"/>
              <w:marTop w:val="0"/>
              <w:marBottom w:val="0"/>
              <w:divBdr>
                <w:top w:val="none" w:sz="0" w:space="0" w:color="auto"/>
                <w:left w:val="none" w:sz="0" w:space="0" w:color="auto"/>
                <w:bottom w:val="none" w:sz="0" w:space="0" w:color="auto"/>
                <w:right w:val="none" w:sz="0" w:space="0" w:color="auto"/>
              </w:divBdr>
              <w:divsChild>
                <w:div w:id="212932590">
                  <w:marLeft w:val="0"/>
                  <w:marRight w:val="0"/>
                  <w:marTop w:val="0"/>
                  <w:marBottom w:val="0"/>
                  <w:divBdr>
                    <w:top w:val="none" w:sz="0" w:space="0" w:color="auto"/>
                    <w:left w:val="none" w:sz="0" w:space="0" w:color="auto"/>
                    <w:bottom w:val="none" w:sz="0" w:space="0" w:color="auto"/>
                    <w:right w:val="none" w:sz="0" w:space="0" w:color="auto"/>
                  </w:divBdr>
                  <w:divsChild>
                    <w:div w:id="1136531942">
                      <w:marLeft w:val="0"/>
                      <w:marRight w:val="0"/>
                      <w:marTop w:val="0"/>
                      <w:marBottom w:val="0"/>
                      <w:divBdr>
                        <w:top w:val="none" w:sz="0" w:space="0" w:color="auto"/>
                        <w:left w:val="none" w:sz="0" w:space="0" w:color="auto"/>
                        <w:bottom w:val="none" w:sz="0" w:space="0" w:color="auto"/>
                        <w:right w:val="none" w:sz="0" w:space="0" w:color="auto"/>
                      </w:divBdr>
                      <w:divsChild>
                        <w:div w:id="201672901">
                          <w:marLeft w:val="0"/>
                          <w:marRight w:val="0"/>
                          <w:marTop w:val="0"/>
                          <w:marBottom w:val="0"/>
                          <w:divBdr>
                            <w:top w:val="none" w:sz="0" w:space="0" w:color="auto"/>
                            <w:left w:val="none" w:sz="0" w:space="0" w:color="auto"/>
                            <w:bottom w:val="none" w:sz="0" w:space="0" w:color="auto"/>
                            <w:right w:val="none" w:sz="0" w:space="0" w:color="auto"/>
                          </w:divBdr>
                          <w:divsChild>
                            <w:div w:id="1059668580">
                              <w:marLeft w:val="0"/>
                              <w:marRight w:val="0"/>
                              <w:marTop w:val="0"/>
                              <w:marBottom w:val="0"/>
                              <w:divBdr>
                                <w:top w:val="none" w:sz="0" w:space="0" w:color="auto"/>
                                <w:left w:val="none" w:sz="0" w:space="0" w:color="auto"/>
                                <w:bottom w:val="none" w:sz="0" w:space="0" w:color="auto"/>
                                <w:right w:val="none" w:sz="0" w:space="0" w:color="auto"/>
                              </w:divBdr>
                              <w:divsChild>
                                <w:div w:id="1812359634">
                                  <w:marLeft w:val="0"/>
                                  <w:marRight w:val="0"/>
                                  <w:marTop w:val="0"/>
                                  <w:marBottom w:val="0"/>
                                  <w:divBdr>
                                    <w:top w:val="none" w:sz="0" w:space="0" w:color="auto"/>
                                    <w:left w:val="none" w:sz="0" w:space="0" w:color="auto"/>
                                    <w:bottom w:val="none" w:sz="0" w:space="0" w:color="auto"/>
                                    <w:right w:val="none" w:sz="0" w:space="0" w:color="auto"/>
                                  </w:divBdr>
                                  <w:divsChild>
                                    <w:div w:id="1363945367">
                                      <w:marLeft w:val="0"/>
                                      <w:marRight w:val="0"/>
                                      <w:marTop w:val="0"/>
                                      <w:marBottom w:val="0"/>
                                      <w:divBdr>
                                        <w:top w:val="none" w:sz="0" w:space="0" w:color="auto"/>
                                        <w:left w:val="none" w:sz="0" w:space="0" w:color="auto"/>
                                        <w:bottom w:val="none" w:sz="0" w:space="0" w:color="auto"/>
                                        <w:right w:val="none" w:sz="0" w:space="0" w:color="auto"/>
                                      </w:divBdr>
                                      <w:divsChild>
                                        <w:div w:id="653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ED7610D83539A4AACB95F2A636E376C" ma:contentTypeVersion="4" ma:contentTypeDescription="Create a new document." ma:contentTypeScope="" ma:versionID="5191ef97b0b7b4c2bc3285751fe80c96">
  <xsd:schema xmlns:xsd="http://www.w3.org/2001/XMLSchema" xmlns:xs="http://www.w3.org/2001/XMLSchema" xmlns:p="http://schemas.microsoft.com/office/2006/metadata/properties" xmlns:ns2="ec93c5ad-c239-4f98-ba9c-8792b34d284d" xmlns:ns3="34354bcd-9f19-49ff-be41-0a8edec883ce" targetNamespace="http://schemas.microsoft.com/office/2006/metadata/properties" ma:root="true" ma:fieldsID="8fdfb08c06fd4ea196b89a295692dba4" ns2:_="" ns3:_="">
    <xsd:import namespace="ec93c5ad-c239-4f98-ba9c-8792b34d284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3c5ad-c239-4f98-ba9c-8792b34d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B8533-2187-47BD-8862-8FB1E8206C58}">
  <ds:schemaRefs>
    <ds:schemaRef ds:uri="http://schemas.microsoft.com/sharepoint/v3/contenttype/forms"/>
  </ds:schemaRefs>
</ds:datastoreItem>
</file>

<file path=customXml/itemProps3.xml><?xml version="1.0" encoding="utf-8"?>
<ds:datastoreItem xmlns:ds="http://schemas.openxmlformats.org/officeDocument/2006/customXml" ds:itemID="{B47D7422-C2EA-4B92-8883-1DDA0070E8B4}">
  <ds:schemaRefs>
    <ds:schemaRef ds:uri="http://schemas.microsoft.com/office/2006/metadata/properties"/>
    <ds:schemaRef ds:uri="http://schemas.microsoft.com/office/infopath/2007/PartnerControls"/>
    <ds:schemaRef ds:uri="b7bf3a24-3cd3-46f6-bffb-c01e59de8d82"/>
  </ds:schemaRefs>
</ds:datastoreItem>
</file>

<file path=customXml/itemProps4.xml><?xml version="1.0" encoding="utf-8"?>
<ds:datastoreItem xmlns:ds="http://schemas.openxmlformats.org/officeDocument/2006/customXml" ds:itemID="{13A50BAE-74FA-4FF9-8DFA-D0E1801801E6}">
  <ds:schemaRefs>
    <ds:schemaRef ds:uri="http://schemas.openxmlformats.org/officeDocument/2006/bibliography"/>
  </ds:schemaRefs>
</ds:datastoreItem>
</file>

<file path=customXml/itemProps5.xml><?xml version="1.0" encoding="utf-8"?>
<ds:datastoreItem xmlns:ds="http://schemas.openxmlformats.org/officeDocument/2006/customXml" ds:itemID="{8CA3FDA2-350E-404D-8EAC-7EE35D0D31CB}"/>
</file>

<file path=docProps/app.xml><?xml version="1.0" encoding="utf-8"?>
<Properties xmlns="http://schemas.openxmlformats.org/officeDocument/2006/extended-properties" xmlns:vt="http://schemas.openxmlformats.org/officeDocument/2006/docPropsVTypes">
  <Template>Normal</Template>
  <TotalTime>0</TotalTime>
  <Pages>9</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QualityCare Insight Report Inventory</vt:lpstr>
    </vt:vector>
  </TitlesOfParts>
  <Company>General Dynamics Information Technology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QualityCare Insight Report Inventory</dc:title>
  <dc:subject>Arkansas Medicaid Patient Centered Medical Home (PCMH)</dc:subject>
  <dc:creator>Cloe, Kathryn M</dc:creator>
  <cp:keywords/>
  <dc:description/>
  <cp:lastModifiedBy>Shannon Berry</cp:lastModifiedBy>
  <cp:revision>2</cp:revision>
  <dcterms:created xsi:type="dcterms:W3CDTF">2022-04-12T15:46:00Z</dcterms:created>
  <dcterms:modified xsi:type="dcterms:W3CDTF">2022-04-12T15:46:00Z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0x0101002ED7610D83539A4AACB95F2A636E376C</vt:lpwstr>
  </property>
</Properties>
</file>