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4F69C420"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9A0EDF">
        <w:t>July 3</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7F7D1C">
        <w:t>Ju</w:t>
      </w:r>
      <w:r w:rsidR="00456ED9">
        <w:t>ly</w:t>
      </w:r>
      <w:r w:rsidR="007F7D1C">
        <w:t xml:space="preserve"> </w:t>
      </w:r>
      <w:r w:rsidR="009A0EDF">
        <w:t>10</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630"/>
        <w:gridCol w:w="900"/>
        <w:gridCol w:w="4050"/>
        <w:gridCol w:w="6128"/>
      </w:tblGrid>
      <w:tr w:rsidR="00DB2CD1" w:rsidRPr="009A233C" w14:paraId="522F91D2" w14:textId="77777777" w:rsidTr="000F0281">
        <w:tc>
          <w:tcPr>
            <w:tcW w:w="3330" w:type="dxa"/>
            <w:gridSpan w:val="2"/>
          </w:tcPr>
          <w:p w14:paraId="187D51AA" w14:textId="75744B79" w:rsidR="00DB2CD1" w:rsidRDefault="00DB2CD1" w:rsidP="00ED7BFE">
            <w:pPr>
              <w:pStyle w:val="RAHeading"/>
            </w:pPr>
            <w:r>
              <w:t>TO: all providers</w:t>
            </w:r>
          </w:p>
        </w:tc>
        <w:tc>
          <w:tcPr>
            <w:tcW w:w="11078" w:type="dxa"/>
            <w:gridSpan w:val="3"/>
          </w:tcPr>
          <w:p w14:paraId="1AB2A34D" w14:textId="6754534E" w:rsidR="00DB2CD1" w:rsidRDefault="00DB2CD1" w:rsidP="00ED7BFE">
            <w:pPr>
              <w:pStyle w:val="RAHeading"/>
            </w:pPr>
            <w:r>
              <w:t xml:space="preserve">RE: </w:t>
            </w:r>
            <w:r w:rsidRPr="00DB2CD1">
              <w:t>Provider Search Features for Enhanced Accessibility Added to the Health Care Portals</w:t>
            </w:r>
          </w:p>
        </w:tc>
      </w:tr>
      <w:tr w:rsidR="00DB2CD1" w:rsidRPr="009A233C" w14:paraId="6941D748" w14:textId="77777777" w:rsidTr="0016028F">
        <w:tc>
          <w:tcPr>
            <w:tcW w:w="14408" w:type="dxa"/>
            <w:gridSpan w:val="5"/>
          </w:tcPr>
          <w:p w14:paraId="66FE77A4" w14:textId="77777777" w:rsidR="00DB2CD1" w:rsidRDefault="00DB2CD1" w:rsidP="002B159A">
            <w:pPr>
              <w:pStyle w:val="RAText"/>
              <w:spacing w:after="40"/>
            </w:pPr>
            <w:r>
              <w:t xml:space="preserve">New capabilities have been added to the Health Care portals to enhance search capabilities. Providers and beneficiaries can now more quickly identify providers who offer </w:t>
            </w:r>
            <w:proofErr w:type="gramStart"/>
            <w:r>
              <w:t>accommodations</w:t>
            </w:r>
            <w:proofErr w:type="gramEnd"/>
            <w:r>
              <w:t xml:space="preserve"> for special needs. These capabilities include:</w:t>
            </w:r>
          </w:p>
          <w:p w14:paraId="4B40CABC" w14:textId="77777777" w:rsidR="00DB2CD1" w:rsidRDefault="00DB2CD1" w:rsidP="002B159A">
            <w:pPr>
              <w:pStyle w:val="RAText"/>
              <w:numPr>
                <w:ilvl w:val="0"/>
                <w:numId w:val="40"/>
              </w:numPr>
              <w:spacing w:after="40"/>
            </w:pPr>
            <w:r>
              <w:t>American Sign Language (ASL) as a searchable language option</w:t>
            </w:r>
          </w:p>
          <w:p w14:paraId="0FAE6751" w14:textId="77777777" w:rsidR="00DB2CD1" w:rsidRDefault="00DB2CD1" w:rsidP="002B159A">
            <w:pPr>
              <w:pStyle w:val="RAText"/>
              <w:numPr>
                <w:ilvl w:val="0"/>
                <w:numId w:val="40"/>
              </w:numPr>
            </w:pPr>
            <w:r>
              <w:t>Facility and telehealth accommodations available as filterable criteria</w:t>
            </w:r>
          </w:p>
          <w:p w14:paraId="30BE39CF" w14:textId="77777777" w:rsidR="00DB2CD1" w:rsidRDefault="00DB2CD1" w:rsidP="00DB2CD1">
            <w:pPr>
              <w:pStyle w:val="RAText"/>
            </w:pPr>
            <w:r>
              <w:t xml:space="preserve">All providers should review their accommodation information and update it. Providers </w:t>
            </w:r>
            <w:proofErr w:type="gramStart"/>
            <w:r>
              <w:t>seeking to</w:t>
            </w:r>
            <w:proofErr w:type="gramEnd"/>
            <w:r>
              <w:t xml:space="preserve"> complete revalidation, enrollment, or re-enrollment with Arkansas Medicaid will be required to review and provide accommodation information </w:t>
            </w:r>
            <w:proofErr w:type="gramStart"/>
            <w:r>
              <w:t>in order to</w:t>
            </w:r>
            <w:proofErr w:type="gramEnd"/>
            <w:r>
              <w:t xml:space="preserve"> submit their applications.</w:t>
            </w:r>
          </w:p>
          <w:p w14:paraId="2A46629C" w14:textId="617E3D85" w:rsidR="00DB2CD1" w:rsidRDefault="00DB2CD1" w:rsidP="002B159A">
            <w:pPr>
              <w:pStyle w:val="RAText"/>
            </w:pPr>
            <w:r>
              <w:t>Further search enhancements and self-service tools to update provider information are coming soon.</w:t>
            </w:r>
          </w:p>
        </w:tc>
      </w:tr>
      <w:tr w:rsidR="008060FB" w:rsidRPr="009A233C" w14:paraId="4AF8AB01" w14:textId="77777777" w:rsidTr="000F0281">
        <w:tc>
          <w:tcPr>
            <w:tcW w:w="2700" w:type="dxa"/>
          </w:tcPr>
          <w:p w14:paraId="6C6BC2C9" w14:textId="3C2B15E1" w:rsidR="008060FB" w:rsidRPr="00ED7BFE" w:rsidRDefault="008060FB" w:rsidP="00ED7BFE">
            <w:pPr>
              <w:pStyle w:val="RAHeading"/>
            </w:pPr>
            <w:r>
              <w:t>TO: all providers</w:t>
            </w:r>
          </w:p>
        </w:tc>
        <w:tc>
          <w:tcPr>
            <w:tcW w:w="11708" w:type="dxa"/>
            <w:gridSpan w:val="4"/>
          </w:tcPr>
          <w:p w14:paraId="7D1C8A75" w14:textId="735C52B2" w:rsidR="008060FB" w:rsidRPr="00ED7BFE" w:rsidRDefault="008060FB" w:rsidP="00ED7BFE">
            <w:pPr>
              <w:pStyle w:val="RAHeading"/>
            </w:pPr>
            <w:r>
              <w:t xml:space="preserve">RE: </w:t>
            </w:r>
            <w:r w:rsidRPr="004B3E8D">
              <w:rPr>
                <w:szCs w:val="21"/>
              </w:rPr>
              <w:t>New Electronic Submission Requirements for Provider Enrollment Applications and Updates</w:t>
            </w:r>
          </w:p>
        </w:tc>
      </w:tr>
      <w:tr w:rsidR="008060FB" w:rsidRPr="009A233C" w14:paraId="5563D97A" w14:textId="77777777" w:rsidTr="00F5072E">
        <w:tc>
          <w:tcPr>
            <w:tcW w:w="14408" w:type="dxa"/>
            <w:gridSpan w:val="5"/>
          </w:tcPr>
          <w:p w14:paraId="7B176F81" w14:textId="447BDF23" w:rsidR="006324C0" w:rsidRDefault="006324C0" w:rsidP="006324C0">
            <w:pPr>
              <w:pStyle w:val="RAText"/>
            </w:pPr>
            <w:r>
              <w:t xml:space="preserve">Effective July 15, 2025, </w:t>
            </w:r>
            <w:r w:rsidRPr="006324C0">
              <w:t>initial provider enrollment applications (except Long Term Care Facilities) must be submitted electronically through the provider portal at</w:t>
            </w:r>
            <w:r>
              <w:t xml:space="preserve"> https://portal.mmis.arkansas.gov/armedicaid/provider/Home/ProviderEnrollment/tabid/477/Default.aspx</w:t>
            </w:r>
          </w:p>
          <w:p w14:paraId="4D1D9A34" w14:textId="0776323B" w:rsidR="006324C0" w:rsidRDefault="006324C0" w:rsidP="006324C0">
            <w:pPr>
              <w:pStyle w:val="RAText"/>
              <w:spacing w:after="40"/>
            </w:pPr>
            <w:r w:rsidRPr="006324C0">
              <w:t>Online submission is the fastest and most effective way to enroll as an Arkansas Medicaid Provider because</w:t>
            </w:r>
          </w:p>
          <w:p w14:paraId="03B19DED" w14:textId="77777777" w:rsidR="006324C0" w:rsidRDefault="006324C0" w:rsidP="006324C0">
            <w:pPr>
              <w:pStyle w:val="RAText"/>
              <w:numPr>
                <w:ilvl w:val="0"/>
                <w:numId w:val="39"/>
              </w:numPr>
              <w:spacing w:after="40"/>
            </w:pPr>
            <w:r>
              <w:t>enrollment time decreases — from weeks to days.</w:t>
            </w:r>
          </w:p>
          <w:p w14:paraId="50044931" w14:textId="77777777" w:rsidR="006324C0" w:rsidRDefault="006324C0" w:rsidP="006324C0">
            <w:pPr>
              <w:pStyle w:val="RAText"/>
              <w:numPr>
                <w:ilvl w:val="0"/>
                <w:numId w:val="39"/>
              </w:numPr>
              <w:spacing w:after="40"/>
            </w:pPr>
            <w:r>
              <w:t>issues related to the quality of attachments and illegible applications are decreased or eliminated.</w:t>
            </w:r>
          </w:p>
          <w:p w14:paraId="4F78AA33" w14:textId="77777777" w:rsidR="006324C0" w:rsidRDefault="006324C0" w:rsidP="006324C0">
            <w:pPr>
              <w:pStyle w:val="RAText"/>
              <w:numPr>
                <w:ilvl w:val="0"/>
                <w:numId w:val="39"/>
              </w:numPr>
              <w:spacing w:after="40"/>
            </w:pPr>
            <w:r>
              <w:t>real-time status updates on applications are available.</w:t>
            </w:r>
          </w:p>
          <w:p w14:paraId="632658B7" w14:textId="535029D2" w:rsidR="006324C0" w:rsidRDefault="006324C0" w:rsidP="006324C0">
            <w:pPr>
              <w:pStyle w:val="RAText"/>
              <w:numPr>
                <w:ilvl w:val="0"/>
                <w:numId w:val="39"/>
              </w:numPr>
              <w:spacing w:after="40"/>
            </w:pPr>
            <w:r w:rsidRPr="006324C0">
              <w:t>applications are returned to providers less frequently for clarification or additional information and no associated mailing delays occur</w:t>
            </w:r>
            <w:r>
              <w:t>.</w:t>
            </w:r>
          </w:p>
          <w:p w14:paraId="51265DCA" w14:textId="23D2BC6F" w:rsidR="006324C0" w:rsidRDefault="008D7585" w:rsidP="006324C0">
            <w:pPr>
              <w:pStyle w:val="RAText"/>
              <w:numPr>
                <w:ilvl w:val="0"/>
                <w:numId w:val="39"/>
              </w:numPr>
              <w:spacing w:after="40"/>
            </w:pPr>
            <w:proofErr w:type="gramStart"/>
            <w:r w:rsidRPr="008D7585">
              <w:t>application</w:t>
            </w:r>
            <w:proofErr w:type="gramEnd"/>
            <w:r w:rsidRPr="008D7585">
              <w:t xml:space="preserve"> delays often result in failure to meet revalidation requirements causing a provider to temporarily lose the ability to bill for services</w:t>
            </w:r>
            <w:r w:rsidR="006324C0">
              <w:t>.</w:t>
            </w:r>
          </w:p>
          <w:p w14:paraId="47E8EB25" w14:textId="77777777" w:rsidR="006324C0" w:rsidRDefault="006324C0" w:rsidP="006324C0">
            <w:pPr>
              <w:pStyle w:val="RAText"/>
              <w:numPr>
                <w:ilvl w:val="0"/>
                <w:numId w:val="39"/>
              </w:numPr>
            </w:pPr>
            <w:proofErr w:type="gramStart"/>
            <w:r>
              <w:t>a higher</w:t>
            </w:r>
            <w:proofErr w:type="gramEnd"/>
            <w:r>
              <w:t xml:space="preserve"> percentage of electronic application submissions are successful.</w:t>
            </w:r>
          </w:p>
          <w:p w14:paraId="4D91BF56" w14:textId="13AEC05C" w:rsidR="006324C0" w:rsidRDefault="008D7585" w:rsidP="006324C0">
            <w:pPr>
              <w:pStyle w:val="RAText"/>
            </w:pPr>
            <w:r w:rsidRPr="008D7585">
              <w:t>For the rare occasions when a provider is unable to enroll using the portal, the state will review the situation and may approve submission of a paper application on a case-by-case basis.  State review and approval will only occur if the provider has exhausted all options to enroll using the portal.</w:t>
            </w:r>
          </w:p>
          <w:p w14:paraId="6B66185C" w14:textId="6DEC41D6" w:rsidR="006324C0" w:rsidRDefault="008D7585" w:rsidP="006324C0">
            <w:pPr>
              <w:pStyle w:val="RAText"/>
            </w:pPr>
            <w:r w:rsidRPr="008D7585">
              <w:t>In addition to the new electronic enrollment requirement, paper requests received by Provider Enrollment for tasks and updates that can be completed using the self-service option will be returned to the provider.</w:t>
            </w:r>
          </w:p>
          <w:p w14:paraId="46C1849F" w14:textId="77777777" w:rsidR="006324C0" w:rsidRDefault="006324C0" w:rsidP="006324C0">
            <w:pPr>
              <w:pStyle w:val="RAText"/>
            </w:pPr>
            <w:r>
              <w:t>A new job aid will soon be added to the Provider Training Information webpage (ar.gov/</w:t>
            </w:r>
            <w:proofErr w:type="spellStart"/>
            <w:r>
              <w:t>ProviderTrainingInfo</w:t>
            </w:r>
            <w:proofErr w:type="spellEnd"/>
            <w:r>
              <w:t>) that will outline self-service options and how to use them.</w:t>
            </w:r>
          </w:p>
          <w:p w14:paraId="59776B7F" w14:textId="50DA8837" w:rsidR="008060FB" w:rsidRPr="00ED7BFE" w:rsidRDefault="008D7585" w:rsidP="008060FB">
            <w:pPr>
              <w:pStyle w:val="RAText"/>
            </w:pPr>
            <w:r w:rsidRPr="008D7585">
              <w:t xml:space="preserve">As noted earlier, Long Term Care Facilities are not required to submit enrollment applications electronically through the portal.  Currently, these applications for enrollment must be submitted by paper application.  General information from the Office of </w:t>
            </w:r>
            <w:proofErr w:type="gramStart"/>
            <w:r w:rsidRPr="008D7585">
              <w:t>Long Term</w:t>
            </w:r>
            <w:proofErr w:type="gramEnd"/>
            <w:r w:rsidRPr="008D7585">
              <w:t xml:space="preserve"> Care (OLTC) along with contact information for assistance with enrollment questions can be found </w:t>
            </w:r>
            <w:r w:rsidR="00514261">
              <w:t xml:space="preserve">on the OLTC webpage at </w:t>
            </w:r>
            <w:r w:rsidR="00514261" w:rsidRPr="00514261">
              <w:t>ar.gov/</w:t>
            </w:r>
            <w:proofErr w:type="spellStart"/>
            <w:r w:rsidR="00514261" w:rsidRPr="00514261">
              <w:t>oltc</w:t>
            </w:r>
            <w:proofErr w:type="spellEnd"/>
            <w:r w:rsidRPr="008D7585">
              <w:t>.</w:t>
            </w:r>
          </w:p>
        </w:tc>
      </w:tr>
      <w:tr w:rsidR="00B11F90" w:rsidRPr="009A233C" w14:paraId="1F76CFB1" w14:textId="77777777" w:rsidTr="000F0281">
        <w:tc>
          <w:tcPr>
            <w:tcW w:w="4230" w:type="dxa"/>
            <w:gridSpan w:val="3"/>
          </w:tcPr>
          <w:p w14:paraId="404BFFF2" w14:textId="68EA01CA" w:rsidR="00B11F90" w:rsidRDefault="00B11F90" w:rsidP="00B11F90">
            <w:pPr>
              <w:pStyle w:val="RAHeading"/>
            </w:pPr>
            <w:r>
              <w:t>TO: nurse practitioner Providers</w:t>
            </w:r>
          </w:p>
        </w:tc>
        <w:tc>
          <w:tcPr>
            <w:tcW w:w="10178" w:type="dxa"/>
            <w:gridSpan w:val="2"/>
          </w:tcPr>
          <w:p w14:paraId="3EA6C8EC" w14:textId="64A8ACF8" w:rsidR="00B11F90" w:rsidRDefault="00B11F90" w:rsidP="00B11F90">
            <w:pPr>
              <w:pStyle w:val="RAHeading"/>
            </w:pPr>
            <w:r>
              <w:t xml:space="preserve">RE: </w:t>
            </w:r>
            <w:r w:rsidRPr="00B11F90">
              <w:t>Procedure 99417 added to Audit 6890</w:t>
            </w:r>
          </w:p>
        </w:tc>
      </w:tr>
      <w:tr w:rsidR="00B11F90" w:rsidRPr="009A233C" w14:paraId="1C92C121" w14:textId="77777777" w:rsidTr="00021ED3">
        <w:tc>
          <w:tcPr>
            <w:tcW w:w="14408" w:type="dxa"/>
            <w:gridSpan w:val="5"/>
          </w:tcPr>
          <w:p w14:paraId="6BCFC3AD" w14:textId="74DF0644" w:rsidR="00B11F90" w:rsidRPr="00182E8E" w:rsidRDefault="00182E8E" w:rsidP="00BE184C">
            <w:pPr>
              <w:pStyle w:val="RAText"/>
            </w:pPr>
            <w:r w:rsidRPr="00182E8E">
              <w:t xml:space="preserve">The Arkansas Department of Human Services has updated Audit 6890 [16 PROVIDER VISITS PER SFY] to include procedure 99417 [PROLNG OP E/M EACH 15 MIN] for Nurse Practitioners.  This limitation audit ensures that members are allowed 16 visits per State Fiscal Year for members </w:t>
            </w:r>
            <w:proofErr w:type="gramStart"/>
            <w:r w:rsidRPr="00182E8E">
              <w:t>age</w:t>
            </w:r>
            <w:proofErr w:type="gramEnd"/>
            <w:r w:rsidRPr="00182E8E">
              <w:t xml:space="preserve"> 21-999. </w:t>
            </w:r>
          </w:p>
        </w:tc>
      </w:tr>
      <w:tr w:rsidR="00E37689" w:rsidRPr="009A233C" w14:paraId="34B1EC3A" w14:textId="77777777" w:rsidTr="00374E7B">
        <w:tc>
          <w:tcPr>
            <w:tcW w:w="8280" w:type="dxa"/>
            <w:gridSpan w:val="4"/>
          </w:tcPr>
          <w:p w14:paraId="2FF37962" w14:textId="7D181494" w:rsidR="00E37689" w:rsidRDefault="00E37689" w:rsidP="00B11F90">
            <w:pPr>
              <w:pStyle w:val="RAHeading"/>
            </w:pPr>
            <w:r w:rsidRPr="00E37689">
              <w:lastRenderedPageBreak/>
              <w:t>TO:</w:t>
            </w:r>
            <w:r>
              <w:t xml:space="preserve"> </w:t>
            </w:r>
            <w:r w:rsidR="00320CFE" w:rsidRPr="00320CFE">
              <w:t>Ambulatory Surgical Center (ASC), Arkansas Department of Health (ADH), Certified Nurse-Midwife (CNM), Federally Qualified Health Center (FQHC), Nurse Practitioner, Hospital, Physician, and Rural Health Clinic</w:t>
            </w:r>
          </w:p>
        </w:tc>
        <w:tc>
          <w:tcPr>
            <w:tcW w:w="6128" w:type="dxa"/>
          </w:tcPr>
          <w:p w14:paraId="2A8468B7" w14:textId="3EF46458" w:rsidR="00E37689" w:rsidRDefault="00E37689" w:rsidP="00B11F90">
            <w:pPr>
              <w:pStyle w:val="RAHeading"/>
            </w:pPr>
            <w:r w:rsidRPr="00E37689">
              <w:t>RE:</w:t>
            </w:r>
            <w:r>
              <w:t xml:space="preserve"> </w:t>
            </w:r>
            <w:r w:rsidRPr="00E37689">
              <w:t xml:space="preserve">Obstetrics (OB) Services Billing Changes (Global/Itemized) </w:t>
            </w:r>
            <w:r>
              <w:t>and</w:t>
            </w:r>
            <w:r w:rsidRPr="00E37689">
              <w:t xml:space="preserve"> Postpartum Visits</w:t>
            </w:r>
          </w:p>
        </w:tc>
      </w:tr>
      <w:tr w:rsidR="00E37689" w:rsidRPr="009A233C" w14:paraId="0DF37EF4" w14:textId="77777777" w:rsidTr="00D548B4">
        <w:tc>
          <w:tcPr>
            <w:tcW w:w="14408" w:type="dxa"/>
            <w:gridSpan w:val="5"/>
          </w:tcPr>
          <w:p w14:paraId="780AB7F5" w14:textId="77777777" w:rsidR="00374E7B" w:rsidRDefault="00374E7B" w:rsidP="00374E7B">
            <w:pPr>
              <w:pStyle w:val="RAText"/>
              <w:spacing w:after="40"/>
            </w:pPr>
            <w:r>
              <w:t>Effective July 1, 2025, Arkansas Department of Human Services:</w:t>
            </w:r>
          </w:p>
          <w:p w14:paraId="4E40197B" w14:textId="61F25215" w:rsidR="00374E7B" w:rsidRDefault="00374E7B" w:rsidP="00374E7B">
            <w:pPr>
              <w:pStyle w:val="RAText"/>
              <w:spacing w:after="40"/>
            </w:pPr>
            <w:r>
              <w:t>1. Will no longer cover global OB codes unless the beneficiary has Third-party Liability (TPL) insurance and/or Medicare.</w:t>
            </w:r>
          </w:p>
          <w:p w14:paraId="03167971" w14:textId="23837AB8" w:rsidR="00374E7B" w:rsidRDefault="00374E7B" w:rsidP="00374E7B">
            <w:pPr>
              <w:pStyle w:val="RAText"/>
            </w:pPr>
            <w:r>
              <w:t>2. Applicable E&amp;M procedure codes with TH (OB TX/SRVCS PRENATL/POSTPART) modifier to be billed for postpartum visits.</w:t>
            </w:r>
          </w:p>
          <w:p w14:paraId="103DA59E" w14:textId="0607B1CD" w:rsidR="00374E7B" w:rsidRDefault="00374E7B" w:rsidP="00374E7B">
            <w:pPr>
              <w:pStyle w:val="RAText"/>
              <w:spacing w:after="40"/>
            </w:pPr>
            <w:r>
              <w:t xml:space="preserve">Please </w:t>
            </w:r>
            <w:proofErr w:type="gramStart"/>
            <w:r>
              <w:t>reference</w:t>
            </w:r>
            <w:proofErr w:type="gramEnd"/>
            <w:r>
              <w:t xml:space="preserve"> ON-019-25 for a complete list of codes that should be billed.</w:t>
            </w:r>
          </w:p>
          <w:p w14:paraId="08505C59" w14:textId="28074F68" w:rsidR="00E37689" w:rsidRDefault="00374E7B" w:rsidP="00374E7B">
            <w:pPr>
              <w:pStyle w:val="RAText"/>
            </w:pPr>
            <w:r>
              <w:t>https://humanservices.arkansas.gov/wp-content/uploads/ON-019-25.docx</w:t>
            </w:r>
          </w:p>
        </w:tc>
      </w:tr>
      <w:tr w:rsidR="00464376" w:rsidRPr="009A233C" w14:paraId="3797BBB9" w14:textId="77777777" w:rsidTr="000F0281">
        <w:tc>
          <w:tcPr>
            <w:tcW w:w="4230" w:type="dxa"/>
            <w:gridSpan w:val="3"/>
          </w:tcPr>
          <w:p w14:paraId="4D557E55" w14:textId="487F8854" w:rsidR="00464376" w:rsidRDefault="00464376" w:rsidP="00464376">
            <w:pPr>
              <w:pStyle w:val="RAHeading"/>
            </w:pPr>
            <w:r>
              <w:t>TO: all providers</w:t>
            </w:r>
          </w:p>
        </w:tc>
        <w:tc>
          <w:tcPr>
            <w:tcW w:w="10178" w:type="dxa"/>
            <w:gridSpan w:val="2"/>
          </w:tcPr>
          <w:p w14:paraId="37579FBC" w14:textId="2B34DB34" w:rsidR="00464376" w:rsidRDefault="00464376" w:rsidP="00464376">
            <w:pPr>
              <w:pStyle w:val="RAHeading"/>
            </w:pPr>
            <w:r>
              <w:t xml:space="preserve">RE: </w:t>
            </w:r>
            <w:r w:rsidRPr="00464376">
              <w:rPr>
                <w:szCs w:val="21"/>
              </w:rPr>
              <w:t>Pharmacy Adding Electronic PA (ePA) and CoverMyMeds</w:t>
            </w:r>
          </w:p>
        </w:tc>
      </w:tr>
      <w:tr w:rsidR="00464376" w:rsidRPr="009A233C" w14:paraId="1EC46CFE" w14:textId="77777777" w:rsidTr="00D548B4">
        <w:tc>
          <w:tcPr>
            <w:tcW w:w="14408" w:type="dxa"/>
            <w:gridSpan w:val="5"/>
          </w:tcPr>
          <w:p w14:paraId="6DF4F650" w14:textId="77777777" w:rsidR="0052571F" w:rsidRPr="0052571F" w:rsidRDefault="0052571F" w:rsidP="0052571F">
            <w:pPr>
              <w:pStyle w:val="RAText"/>
            </w:pPr>
            <w:r w:rsidRPr="0052571F">
              <w:t>Beginning August 1, 2025, the Arkansas Medicaid Pharmacy Program will add new functionality to begin accepting electronic prior authorization (</w:t>
            </w:r>
            <w:proofErr w:type="spellStart"/>
            <w:r w:rsidRPr="0052571F">
              <w:t>ePA</w:t>
            </w:r>
            <w:proofErr w:type="spellEnd"/>
            <w:r w:rsidRPr="0052571F">
              <w:t xml:space="preserve">) requests via </w:t>
            </w:r>
            <w:proofErr w:type="spellStart"/>
            <w:r w:rsidRPr="0052571F">
              <w:t>CoverMyMeds</w:t>
            </w:r>
            <w:proofErr w:type="spellEnd"/>
            <w:r w:rsidRPr="0052571F">
              <w:rPr>
                <w:vertAlign w:val="superscript"/>
              </w:rPr>
              <w:t>®</w:t>
            </w:r>
            <w:r w:rsidRPr="0052571F">
              <w:t xml:space="preserve"> in addition to fax requests.</w:t>
            </w:r>
          </w:p>
          <w:p w14:paraId="699A5FD5" w14:textId="77777777" w:rsidR="0052571F" w:rsidRPr="0052571F" w:rsidRDefault="0052571F" w:rsidP="0052571F">
            <w:pPr>
              <w:pStyle w:val="RAText"/>
            </w:pPr>
            <w:r w:rsidRPr="0052571F">
              <w:t xml:space="preserve">By prompting prescribers to answer required clinical questions, the </w:t>
            </w:r>
            <w:proofErr w:type="spellStart"/>
            <w:r w:rsidRPr="0052571F">
              <w:t>CoverMyMeds</w:t>
            </w:r>
            <w:proofErr w:type="spellEnd"/>
            <w:r w:rsidRPr="0052571F">
              <w:t xml:space="preserve"> tool will simplify the prior authorization process and offer real-time approval if clinical criteria are met. With the new functionality, prescribers will be able to submit prior authorization requests electronically, upload supporting documents, and track the request in real time.</w:t>
            </w:r>
          </w:p>
          <w:p w14:paraId="625B697C" w14:textId="77777777" w:rsidR="0052571F" w:rsidRPr="0052571F" w:rsidRDefault="0052571F" w:rsidP="0052571F">
            <w:pPr>
              <w:pStyle w:val="RAText"/>
            </w:pPr>
            <w:r w:rsidRPr="0052571F">
              <w:t xml:space="preserve">Additionally, pharmacy providers who utilize </w:t>
            </w:r>
            <w:proofErr w:type="spellStart"/>
            <w:r w:rsidRPr="0052571F">
              <w:t>CoverMyMeds</w:t>
            </w:r>
            <w:proofErr w:type="spellEnd"/>
            <w:r w:rsidRPr="0052571F">
              <w:t xml:space="preserve"> can initiate medication </w:t>
            </w:r>
            <w:proofErr w:type="spellStart"/>
            <w:r w:rsidRPr="0052571F">
              <w:t>ePA</w:t>
            </w:r>
            <w:proofErr w:type="spellEnd"/>
            <w:r w:rsidRPr="0052571F">
              <w:t xml:space="preserve"> requests on behalf of a beneficiary. </w:t>
            </w:r>
            <w:proofErr w:type="spellStart"/>
            <w:r w:rsidRPr="0052571F">
              <w:t>CoverMyMeds</w:t>
            </w:r>
            <w:proofErr w:type="spellEnd"/>
            <w:r w:rsidRPr="0052571F">
              <w:t xml:space="preserve"> will direct the case to the prescriber’s queue prompting them to complete and submit the </w:t>
            </w:r>
            <w:proofErr w:type="spellStart"/>
            <w:r w:rsidRPr="0052571F">
              <w:t>ePA</w:t>
            </w:r>
            <w:proofErr w:type="spellEnd"/>
            <w:r w:rsidRPr="0052571F">
              <w:t xml:space="preserve"> to Arkansas Medicaid.</w:t>
            </w:r>
          </w:p>
          <w:p w14:paraId="306145ED" w14:textId="67050559" w:rsidR="00464376" w:rsidRPr="00464376" w:rsidRDefault="0052571F" w:rsidP="00464376">
            <w:pPr>
              <w:pStyle w:val="RAText"/>
            </w:pPr>
            <w:r w:rsidRPr="0052571F">
              <w:t xml:space="preserve">Please refer to the Arkansas Medicaid Pharmacy Website </w:t>
            </w:r>
            <w:r>
              <w:t xml:space="preserve">at </w:t>
            </w:r>
            <w:r w:rsidRPr="0052571F">
              <w:t>https://ar.primetherapeutics.com/provider-documents</w:t>
            </w:r>
            <w:r>
              <w:t xml:space="preserve"> </w:t>
            </w:r>
            <w:r w:rsidRPr="0052571F">
              <w:t xml:space="preserve">for additional information on </w:t>
            </w:r>
            <w:proofErr w:type="spellStart"/>
            <w:r w:rsidRPr="0052571F">
              <w:t>ePA</w:t>
            </w:r>
            <w:proofErr w:type="spellEnd"/>
            <w:r w:rsidRPr="0052571F">
              <w:t xml:space="preserve"> and </w:t>
            </w:r>
            <w:proofErr w:type="spellStart"/>
            <w:r w:rsidRPr="0052571F">
              <w:t>CoverMyMeds</w:t>
            </w:r>
            <w:proofErr w:type="spellEnd"/>
            <w:r w:rsidRPr="0052571F">
              <w:t>.</w:t>
            </w:r>
          </w:p>
        </w:tc>
      </w:tr>
    </w:tbl>
    <w:p w14:paraId="2F5D9C19" w14:textId="71ED969E" w:rsidR="0085169D" w:rsidRPr="009A233C" w:rsidRDefault="0085169D" w:rsidP="006324C0">
      <w:pPr>
        <w:pStyle w:val="RABottomText"/>
        <w:rPr>
          <w:rFonts w:eastAsia="Batang"/>
          <w:b w:val="0"/>
          <w:i w:val="0"/>
          <w:lang w:eastAsia="ko-KR"/>
        </w:rPr>
      </w:pPr>
      <w:bookmarkStart w:id="0" w:name="_Hlk160810535"/>
      <w:r w:rsidRPr="009A233C">
        <w:rPr>
          <w:rFonts w:eastAsia="Batang"/>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Cs/>
            <w:iCs/>
            <w:lang w:eastAsia="ko-KR"/>
          </w:rPr>
          <w:t>https://portal.mmis.arkansas.gov/armedicaid/provider/Home/tabid/135/Default.aspx</w:t>
        </w:r>
      </w:hyperlink>
      <w:r w:rsidRPr="009A233C">
        <w:rPr>
          <w:rFonts w:eastAsia="Batang"/>
          <w:lang w:eastAsia="ko-KR"/>
        </w:rPr>
        <w:t>.</w:t>
      </w:r>
      <w:bookmarkEnd w:id="0"/>
      <w:r w:rsidR="00ED7BFE">
        <w:rPr>
          <w:rFonts w:eastAsia="Batang"/>
          <w:lang w:eastAsia="ko-KR"/>
        </w:rPr>
        <w:tab/>
      </w:r>
    </w:p>
    <w:sectPr w:rsidR="0085169D" w:rsidRPr="009A233C" w:rsidSect="00182E8E">
      <w:pgSz w:w="15840" w:h="12240" w:orient="landscape" w:code="1"/>
      <w:pgMar w:top="1008"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3A3B"/>
    <w:multiLevelType w:val="hybridMultilevel"/>
    <w:tmpl w:val="41AC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E140E"/>
    <w:multiLevelType w:val="hybridMultilevel"/>
    <w:tmpl w:val="1AFE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7"/>
  </w:num>
  <w:num w:numId="3" w16cid:durableId="1764915598">
    <w:abstractNumId w:val="31"/>
  </w:num>
  <w:num w:numId="4" w16cid:durableId="285743630">
    <w:abstractNumId w:val="16"/>
  </w:num>
  <w:num w:numId="5" w16cid:durableId="1067649689">
    <w:abstractNumId w:val="3"/>
  </w:num>
  <w:num w:numId="6" w16cid:durableId="1056782968">
    <w:abstractNumId w:val="24"/>
  </w:num>
  <w:num w:numId="7" w16cid:durableId="1125125218">
    <w:abstractNumId w:val="21"/>
  </w:num>
  <w:num w:numId="8" w16cid:durableId="950015320">
    <w:abstractNumId w:val="30"/>
  </w:num>
  <w:num w:numId="9" w16cid:durableId="2054307345">
    <w:abstractNumId w:val="32"/>
  </w:num>
  <w:num w:numId="10" w16cid:durableId="1695425299">
    <w:abstractNumId w:val="28"/>
  </w:num>
  <w:num w:numId="11" w16cid:durableId="1461415117">
    <w:abstractNumId w:val="12"/>
  </w:num>
  <w:num w:numId="12" w16cid:durableId="1390304551">
    <w:abstractNumId w:val="6"/>
  </w:num>
  <w:num w:numId="13" w16cid:durableId="1582331996">
    <w:abstractNumId w:val="11"/>
  </w:num>
  <w:num w:numId="14" w16cid:durableId="828983114">
    <w:abstractNumId w:val="7"/>
  </w:num>
  <w:num w:numId="15" w16cid:durableId="573398377">
    <w:abstractNumId w:val="37"/>
  </w:num>
  <w:num w:numId="16" w16cid:durableId="1317757009">
    <w:abstractNumId w:val="9"/>
  </w:num>
  <w:num w:numId="17" w16cid:durableId="1379430719">
    <w:abstractNumId w:val="17"/>
  </w:num>
  <w:num w:numId="18" w16cid:durableId="1004554482">
    <w:abstractNumId w:val="29"/>
  </w:num>
  <w:num w:numId="19" w16cid:durableId="527260052">
    <w:abstractNumId w:val="26"/>
  </w:num>
  <w:num w:numId="20" w16cid:durableId="1046371567">
    <w:abstractNumId w:val="10"/>
  </w:num>
  <w:num w:numId="21" w16cid:durableId="16126293">
    <w:abstractNumId w:val="4"/>
  </w:num>
  <w:num w:numId="22" w16cid:durableId="789400013">
    <w:abstractNumId w:val="36"/>
  </w:num>
  <w:num w:numId="23" w16cid:durableId="1986733675">
    <w:abstractNumId w:val="22"/>
  </w:num>
  <w:num w:numId="24" w16cid:durableId="482040308">
    <w:abstractNumId w:val="20"/>
  </w:num>
  <w:num w:numId="25" w16cid:durableId="878205331">
    <w:abstractNumId w:val="14"/>
  </w:num>
  <w:num w:numId="26" w16cid:durableId="572351401">
    <w:abstractNumId w:val="33"/>
  </w:num>
  <w:num w:numId="27" w16cid:durableId="213976199">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5"/>
  </w:num>
  <w:num w:numId="30" w16cid:durableId="137918648">
    <w:abstractNumId w:val="35"/>
  </w:num>
  <w:num w:numId="31" w16cid:durableId="191455874">
    <w:abstractNumId w:val="15"/>
  </w:num>
  <w:num w:numId="32" w16cid:durableId="1451239030">
    <w:abstractNumId w:val="23"/>
  </w:num>
  <w:num w:numId="33" w16cid:durableId="1194727401">
    <w:abstractNumId w:val="5"/>
  </w:num>
  <w:num w:numId="34" w16cid:durableId="1900167424">
    <w:abstractNumId w:val="13"/>
  </w:num>
  <w:num w:numId="35" w16cid:durableId="723867162">
    <w:abstractNumId w:val="19"/>
  </w:num>
  <w:num w:numId="36" w16cid:durableId="2092655192">
    <w:abstractNumId w:val="34"/>
  </w:num>
  <w:num w:numId="37" w16cid:durableId="1848135941">
    <w:abstractNumId w:val="8"/>
  </w:num>
  <w:num w:numId="38" w16cid:durableId="1884706359">
    <w:abstractNumId w:val="2"/>
  </w:num>
  <w:num w:numId="39" w16cid:durableId="179205287">
    <w:abstractNumId w:val="1"/>
  </w:num>
  <w:num w:numId="40" w16cid:durableId="9663569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267E"/>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7A4"/>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2719"/>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3583"/>
    <w:rsid w:val="00093A0D"/>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88A"/>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0281"/>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47843"/>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2E8E"/>
    <w:rsid w:val="00183476"/>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7743D"/>
    <w:rsid w:val="00280443"/>
    <w:rsid w:val="00281602"/>
    <w:rsid w:val="002830CF"/>
    <w:rsid w:val="002835D3"/>
    <w:rsid w:val="00285513"/>
    <w:rsid w:val="00287764"/>
    <w:rsid w:val="002900B2"/>
    <w:rsid w:val="0029092F"/>
    <w:rsid w:val="002930B5"/>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59A"/>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0FA3"/>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0CFE"/>
    <w:rsid w:val="0032110C"/>
    <w:rsid w:val="00322AD5"/>
    <w:rsid w:val="00324560"/>
    <w:rsid w:val="003245A3"/>
    <w:rsid w:val="00325363"/>
    <w:rsid w:val="00325C40"/>
    <w:rsid w:val="0032687F"/>
    <w:rsid w:val="00330569"/>
    <w:rsid w:val="00330DE6"/>
    <w:rsid w:val="003320BB"/>
    <w:rsid w:val="00334DA6"/>
    <w:rsid w:val="003409E8"/>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4E7B"/>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459"/>
    <w:rsid w:val="003B28DA"/>
    <w:rsid w:val="003B4F82"/>
    <w:rsid w:val="003B696A"/>
    <w:rsid w:val="003B79D6"/>
    <w:rsid w:val="003C0DF0"/>
    <w:rsid w:val="003C3886"/>
    <w:rsid w:val="003C3C48"/>
    <w:rsid w:val="003C7081"/>
    <w:rsid w:val="003C7CC1"/>
    <w:rsid w:val="003D0691"/>
    <w:rsid w:val="003D0908"/>
    <w:rsid w:val="003D1421"/>
    <w:rsid w:val="003D3E5A"/>
    <w:rsid w:val="003D429E"/>
    <w:rsid w:val="003D481A"/>
    <w:rsid w:val="003D661B"/>
    <w:rsid w:val="003D7B0F"/>
    <w:rsid w:val="003E0104"/>
    <w:rsid w:val="003E1A53"/>
    <w:rsid w:val="003E25A9"/>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079C5"/>
    <w:rsid w:val="0041067A"/>
    <w:rsid w:val="00411AE7"/>
    <w:rsid w:val="00415569"/>
    <w:rsid w:val="004155C3"/>
    <w:rsid w:val="00416BC7"/>
    <w:rsid w:val="004173F5"/>
    <w:rsid w:val="00420527"/>
    <w:rsid w:val="004207B8"/>
    <w:rsid w:val="00420A01"/>
    <w:rsid w:val="004215F3"/>
    <w:rsid w:val="004228C6"/>
    <w:rsid w:val="00422FFA"/>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56ED9"/>
    <w:rsid w:val="00460DF1"/>
    <w:rsid w:val="00461152"/>
    <w:rsid w:val="0046143E"/>
    <w:rsid w:val="0046145E"/>
    <w:rsid w:val="00461DB5"/>
    <w:rsid w:val="00461F89"/>
    <w:rsid w:val="0046218E"/>
    <w:rsid w:val="0046380B"/>
    <w:rsid w:val="00464376"/>
    <w:rsid w:val="004659B9"/>
    <w:rsid w:val="00465D1A"/>
    <w:rsid w:val="00466482"/>
    <w:rsid w:val="004707E3"/>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0C13"/>
    <w:rsid w:val="004924FF"/>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313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261"/>
    <w:rsid w:val="005148E1"/>
    <w:rsid w:val="005208E4"/>
    <w:rsid w:val="00525611"/>
    <w:rsid w:val="0052571F"/>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139D"/>
    <w:rsid w:val="005F2CE0"/>
    <w:rsid w:val="005F2F77"/>
    <w:rsid w:val="005F3B75"/>
    <w:rsid w:val="005F41FD"/>
    <w:rsid w:val="005F5421"/>
    <w:rsid w:val="00601FF1"/>
    <w:rsid w:val="0060267D"/>
    <w:rsid w:val="0060460C"/>
    <w:rsid w:val="00605033"/>
    <w:rsid w:val="00606E1E"/>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24C0"/>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11A"/>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3747"/>
    <w:rsid w:val="00714595"/>
    <w:rsid w:val="007147B9"/>
    <w:rsid w:val="00714979"/>
    <w:rsid w:val="007151C5"/>
    <w:rsid w:val="00715308"/>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5F96"/>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1B0"/>
    <w:rsid w:val="007D444C"/>
    <w:rsid w:val="007D5690"/>
    <w:rsid w:val="007D5932"/>
    <w:rsid w:val="007D6002"/>
    <w:rsid w:val="007D690B"/>
    <w:rsid w:val="007D6969"/>
    <w:rsid w:val="007D745F"/>
    <w:rsid w:val="007D7C45"/>
    <w:rsid w:val="007E02C5"/>
    <w:rsid w:val="007E313E"/>
    <w:rsid w:val="007E396C"/>
    <w:rsid w:val="007E48DC"/>
    <w:rsid w:val="007E5452"/>
    <w:rsid w:val="007E54EC"/>
    <w:rsid w:val="007E61B1"/>
    <w:rsid w:val="007F31A8"/>
    <w:rsid w:val="007F4B72"/>
    <w:rsid w:val="007F5B63"/>
    <w:rsid w:val="007F6657"/>
    <w:rsid w:val="007F7899"/>
    <w:rsid w:val="007F79BD"/>
    <w:rsid w:val="007F7D1C"/>
    <w:rsid w:val="00800324"/>
    <w:rsid w:val="00802F3E"/>
    <w:rsid w:val="00803444"/>
    <w:rsid w:val="008035FF"/>
    <w:rsid w:val="008057BC"/>
    <w:rsid w:val="008060FB"/>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5331"/>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3B53"/>
    <w:rsid w:val="00874356"/>
    <w:rsid w:val="008754A2"/>
    <w:rsid w:val="0087571B"/>
    <w:rsid w:val="0087642B"/>
    <w:rsid w:val="00880F26"/>
    <w:rsid w:val="0088173A"/>
    <w:rsid w:val="0088212A"/>
    <w:rsid w:val="00883A00"/>
    <w:rsid w:val="00883C2D"/>
    <w:rsid w:val="00883F71"/>
    <w:rsid w:val="00885DE3"/>
    <w:rsid w:val="008863BB"/>
    <w:rsid w:val="008878A1"/>
    <w:rsid w:val="008878E4"/>
    <w:rsid w:val="00890530"/>
    <w:rsid w:val="008918CE"/>
    <w:rsid w:val="00891E8B"/>
    <w:rsid w:val="008934E8"/>
    <w:rsid w:val="008935E2"/>
    <w:rsid w:val="00895405"/>
    <w:rsid w:val="0089540F"/>
    <w:rsid w:val="008970EA"/>
    <w:rsid w:val="008979D8"/>
    <w:rsid w:val="00897C5C"/>
    <w:rsid w:val="008A1931"/>
    <w:rsid w:val="008A1B83"/>
    <w:rsid w:val="008A4956"/>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2F87"/>
    <w:rsid w:val="008D356A"/>
    <w:rsid w:val="008D4696"/>
    <w:rsid w:val="008D690B"/>
    <w:rsid w:val="008D7585"/>
    <w:rsid w:val="008E3441"/>
    <w:rsid w:val="008E4827"/>
    <w:rsid w:val="008E4FEB"/>
    <w:rsid w:val="008E5E30"/>
    <w:rsid w:val="008E6DA1"/>
    <w:rsid w:val="008E6EE4"/>
    <w:rsid w:val="008E783A"/>
    <w:rsid w:val="008E7FCE"/>
    <w:rsid w:val="008F12B7"/>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45F1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705"/>
    <w:rsid w:val="00986EE1"/>
    <w:rsid w:val="00987EA0"/>
    <w:rsid w:val="00992638"/>
    <w:rsid w:val="00994219"/>
    <w:rsid w:val="009953DF"/>
    <w:rsid w:val="0099565F"/>
    <w:rsid w:val="00995AB2"/>
    <w:rsid w:val="009966AA"/>
    <w:rsid w:val="0099725D"/>
    <w:rsid w:val="009A07A5"/>
    <w:rsid w:val="009A0D99"/>
    <w:rsid w:val="009A0EDF"/>
    <w:rsid w:val="009A1DC0"/>
    <w:rsid w:val="009A233C"/>
    <w:rsid w:val="009B05BA"/>
    <w:rsid w:val="009B1B1B"/>
    <w:rsid w:val="009B30E1"/>
    <w:rsid w:val="009B469F"/>
    <w:rsid w:val="009B4A82"/>
    <w:rsid w:val="009B4E90"/>
    <w:rsid w:val="009B5F1E"/>
    <w:rsid w:val="009B6296"/>
    <w:rsid w:val="009C0E30"/>
    <w:rsid w:val="009C1096"/>
    <w:rsid w:val="009C15EA"/>
    <w:rsid w:val="009C1DDA"/>
    <w:rsid w:val="009C1F79"/>
    <w:rsid w:val="009C2602"/>
    <w:rsid w:val="009C2771"/>
    <w:rsid w:val="009C29C5"/>
    <w:rsid w:val="009C3CF2"/>
    <w:rsid w:val="009C3F5E"/>
    <w:rsid w:val="009C42FD"/>
    <w:rsid w:val="009C48B2"/>
    <w:rsid w:val="009D0467"/>
    <w:rsid w:val="009D0F71"/>
    <w:rsid w:val="009D26FA"/>
    <w:rsid w:val="009D2771"/>
    <w:rsid w:val="009D40DE"/>
    <w:rsid w:val="009D48DE"/>
    <w:rsid w:val="009D4DBE"/>
    <w:rsid w:val="009D6195"/>
    <w:rsid w:val="009D7F82"/>
    <w:rsid w:val="009E2006"/>
    <w:rsid w:val="009E2F3B"/>
    <w:rsid w:val="009E34A8"/>
    <w:rsid w:val="009E3F40"/>
    <w:rsid w:val="009E4129"/>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4B4C"/>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09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B00A68"/>
    <w:rsid w:val="00B0106B"/>
    <w:rsid w:val="00B0117C"/>
    <w:rsid w:val="00B0248C"/>
    <w:rsid w:val="00B026DA"/>
    <w:rsid w:val="00B02D4D"/>
    <w:rsid w:val="00B03069"/>
    <w:rsid w:val="00B04130"/>
    <w:rsid w:val="00B07018"/>
    <w:rsid w:val="00B0775D"/>
    <w:rsid w:val="00B107B2"/>
    <w:rsid w:val="00B11F90"/>
    <w:rsid w:val="00B12B22"/>
    <w:rsid w:val="00B14678"/>
    <w:rsid w:val="00B1732A"/>
    <w:rsid w:val="00B201EF"/>
    <w:rsid w:val="00B22144"/>
    <w:rsid w:val="00B227EC"/>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5617D"/>
    <w:rsid w:val="00B57F40"/>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92B36"/>
    <w:rsid w:val="00B92D63"/>
    <w:rsid w:val="00B932A6"/>
    <w:rsid w:val="00B93EF2"/>
    <w:rsid w:val="00BA0E92"/>
    <w:rsid w:val="00BA23CC"/>
    <w:rsid w:val="00BA296F"/>
    <w:rsid w:val="00BA3AA6"/>
    <w:rsid w:val="00BA4D34"/>
    <w:rsid w:val="00BA5D29"/>
    <w:rsid w:val="00BA763B"/>
    <w:rsid w:val="00BA781C"/>
    <w:rsid w:val="00BA7A1C"/>
    <w:rsid w:val="00BB222B"/>
    <w:rsid w:val="00BB2528"/>
    <w:rsid w:val="00BB29DE"/>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184C"/>
    <w:rsid w:val="00BE3EC0"/>
    <w:rsid w:val="00BE6851"/>
    <w:rsid w:val="00BE6A4A"/>
    <w:rsid w:val="00BF03EB"/>
    <w:rsid w:val="00BF22D3"/>
    <w:rsid w:val="00BF354B"/>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749"/>
    <w:rsid w:val="00C43E4E"/>
    <w:rsid w:val="00C4410E"/>
    <w:rsid w:val="00C4468A"/>
    <w:rsid w:val="00C462A2"/>
    <w:rsid w:val="00C475D5"/>
    <w:rsid w:val="00C47FE5"/>
    <w:rsid w:val="00C51161"/>
    <w:rsid w:val="00C51EFB"/>
    <w:rsid w:val="00C52665"/>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2F2"/>
    <w:rsid w:val="00C87546"/>
    <w:rsid w:val="00C90F49"/>
    <w:rsid w:val="00C91A2A"/>
    <w:rsid w:val="00C9409D"/>
    <w:rsid w:val="00C94895"/>
    <w:rsid w:val="00C94C90"/>
    <w:rsid w:val="00C96A8C"/>
    <w:rsid w:val="00C970AC"/>
    <w:rsid w:val="00CA06D8"/>
    <w:rsid w:val="00CA0C31"/>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5C2"/>
    <w:rsid w:val="00CD39AA"/>
    <w:rsid w:val="00CD43CF"/>
    <w:rsid w:val="00CD5AEF"/>
    <w:rsid w:val="00CD5E85"/>
    <w:rsid w:val="00CD7B2F"/>
    <w:rsid w:val="00CE0A58"/>
    <w:rsid w:val="00CE12FB"/>
    <w:rsid w:val="00CE3D72"/>
    <w:rsid w:val="00CE5D8E"/>
    <w:rsid w:val="00CE76B6"/>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3DA3"/>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255"/>
    <w:rsid w:val="00DB27BA"/>
    <w:rsid w:val="00DB2A24"/>
    <w:rsid w:val="00DB2CD1"/>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755C"/>
    <w:rsid w:val="00DE0677"/>
    <w:rsid w:val="00DE0959"/>
    <w:rsid w:val="00DE1BE4"/>
    <w:rsid w:val="00DE278D"/>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2DAB"/>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689"/>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6533"/>
    <w:rsid w:val="00EA7094"/>
    <w:rsid w:val="00EA7D3C"/>
    <w:rsid w:val="00EA7F01"/>
    <w:rsid w:val="00EB0F0C"/>
    <w:rsid w:val="00EB220D"/>
    <w:rsid w:val="00EB2B36"/>
    <w:rsid w:val="00EB3EAE"/>
    <w:rsid w:val="00EB5179"/>
    <w:rsid w:val="00EB5AFD"/>
    <w:rsid w:val="00EB65B1"/>
    <w:rsid w:val="00EB693A"/>
    <w:rsid w:val="00EB76DC"/>
    <w:rsid w:val="00EC01DD"/>
    <w:rsid w:val="00EC0877"/>
    <w:rsid w:val="00EC0C36"/>
    <w:rsid w:val="00EC2A06"/>
    <w:rsid w:val="00EC42F7"/>
    <w:rsid w:val="00EC6E47"/>
    <w:rsid w:val="00EC6E72"/>
    <w:rsid w:val="00ED0FA3"/>
    <w:rsid w:val="00ED236D"/>
    <w:rsid w:val="00ED23A6"/>
    <w:rsid w:val="00ED3CCA"/>
    <w:rsid w:val="00ED3EB1"/>
    <w:rsid w:val="00ED47A6"/>
    <w:rsid w:val="00ED5020"/>
    <w:rsid w:val="00ED5C90"/>
    <w:rsid w:val="00ED7BFE"/>
    <w:rsid w:val="00EE2C52"/>
    <w:rsid w:val="00EE3D09"/>
    <w:rsid w:val="00EE418F"/>
    <w:rsid w:val="00EE4B6E"/>
    <w:rsid w:val="00EE4DA7"/>
    <w:rsid w:val="00EE50F0"/>
    <w:rsid w:val="00EF01BE"/>
    <w:rsid w:val="00EF126F"/>
    <w:rsid w:val="00EF202E"/>
    <w:rsid w:val="00EF2E09"/>
    <w:rsid w:val="00EF4D6A"/>
    <w:rsid w:val="00EF5252"/>
    <w:rsid w:val="00EF536E"/>
    <w:rsid w:val="00EF72B2"/>
    <w:rsid w:val="00EF74A0"/>
    <w:rsid w:val="00F01B3F"/>
    <w:rsid w:val="00F022E8"/>
    <w:rsid w:val="00F02B6C"/>
    <w:rsid w:val="00F0356B"/>
    <w:rsid w:val="00F037A8"/>
    <w:rsid w:val="00F04A3D"/>
    <w:rsid w:val="00F04B4E"/>
    <w:rsid w:val="00F05C05"/>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78B"/>
    <w:rsid w:val="00F56811"/>
    <w:rsid w:val="00F57B30"/>
    <w:rsid w:val="00F61249"/>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0DD3"/>
    <w:rsid w:val="00FD23C3"/>
    <w:rsid w:val="00FD31E9"/>
    <w:rsid w:val="00FD5CEC"/>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ED7BFE"/>
    <w:pPr>
      <w:spacing w:before="80" w:after="80"/>
    </w:pPr>
    <w:rPr>
      <w:rFonts w:ascii="Arial" w:hAnsi="Arial"/>
      <w:b/>
      <w:caps/>
      <w:color w:val="000000"/>
    </w:rPr>
  </w:style>
  <w:style w:type="paragraph" w:customStyle="1" w:styleId="RABottomText">
    <w:name w:val="RABottomText"/>
    <w:basedOn w:val="Heading1"/>
    <w:rsid w:val="006324C0"/>
    <w:pPr>
      <w:tabs>
        <w:tab w:val="left" w:pos="720"/>
      </w:tabs>
      <w:spacing w:before="160" w:after="0"/>
    </w:pPr>
    <w:rPr>
      <w:rFonts w:cs="Times New Roman"/>
      <w:bCs w:val="0"/>
      <w:i/>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2768729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0039432">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095978194">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22221227">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804273553">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15590021">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schemas.microsoft.com/office/infopath/2007/PartnerControls"/>
    <ds:schemaRef ds:uri="459a5397-efc8-4db4-9665-6751e9557ed9"/>
    <ds:schemaRef ds:uri="http://purl.org/dc/terms/"/>
    <ds:schemaRef ds:uri="http://purl.org/dc/elements/1.1/"/>
    <ds:schemaRef ds:uri="http://schemas.microsoft.com/office/2006/documentManagement/types"/>
    <ds:schemaRef ds:uri="http://schemas.microsoft.com/office/2006/metadata/properties"/>
    <ds:schemaRef ds:uri="8e69ce0d-1efe-43da-bb4e-b658dcfa505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2</Pages>
  <Words>763</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Messages for Remittance Advices dated July 3, 2025</vt:lpstr>
    </vt:vector>
  </TitlesOfParts>
  <Company/>
  <LinksUpToDate>false</LinksUpToDate>
  <CharactersWithSpaces>5706</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July 3, 2025</dc:title>
  <dc:subject/>
  <dc:creator/>
  <cp:keywords/>
  <dc:description/>
  <cp:lastModifiedBy/>
  <cp:revision>1</cp:revision>
  <dcterms:created xsi:type="dcterms:W3CDTF">2025-07-01T14:46:00Z</dcterms:created>
  <dcterms:modified xsi:type="dcterms:W3CDTF">2025-07-03T17:45:00Z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